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9B87" w14:textId="77777777" w:rsidR="0054358F" w:rsidRDefault="0054358F" w:rsidP="0054358F">
      <w:pPr>
        <w:pStyle w:val="LSHeader"/>
      </w:pPr>
      <w:bookmarkStart w:id="0" w:name="_Hlk156570850"/>
      <w:r>
        <w:t>3GPP TSG SA WG5 154</w:t>
      </w:r>
      <w:r>
        <w:tab/>
        <w:t>S5-241313</w:t>
      </w:r>
    </w:p>
    <w:p w14:paraId="61826767" w14:textId="77777777" w:rsidR="0054358F" w:rsidRDefault="0054358F" w:rsidP="0054358F">
      <w:pPr>
        <w:pStyle w:val="LSHeader"/>
      </w:pPr>
      <w:r>
        <w:t>Changsha, China, 15 - 19 April 2024</w:t>
      </w:r>
    </w:p>
    <w:p w14:paraId="022B1F12" w14:textId="77777777" w:rsidR="0054358F" w:rsidRDefault="0054358F" w:rsidP="00072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ED39DB" w14:textId="3713803B" w:rsidR="000729D2" w:rsidRPr="00A47749" w:rsidRDefault="000729D2" w:rsidP="0007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7749">
        <w:rPr>
          <w:b/>
          <w:noProof/>
          <w:sz w:val="24"/>
        </w:rPr>
        <w:t>3GPP TSG-SA5 Meeting #15</w:t>
      </w:r>
      <w:r w:rsidR="00A47749" w:rsidRPr="00A47749">
        <w:rPr>
          <w:b/>
          <w:noProof/>
          <w:sz w:val="24"/>
        </w:rPr>
        <w:t>3</w:t>
      </w:r>
      <w:r w:rsidRPr="00A47749">
        <w:rPr>
          <w:b/>
          <w:i/>
          <w:noProof/>
          <w:sz w:val="24"/>
        </w:rPr>
        <w:t xml:space="preserve"> </w:t>
      </w:r>
      <w:r w:rsidRPr="00A47749">
        <w:rPr>
          <w:b/>
          <w:i/>
          <w:noProof/>
          <w:sz w:val="28"/>
        </w:rPr>
        <w:tab/>
      </w:r>
      <w:r w:rsidRPr="0054358F">
        <w:rPr>
          <w:rFonts w:eastAsia="Times New Roman"/>
          <w:b/>
          <w:sz w:val="24"/>
          <w:lang w:eastAsia="en-GB"/>
        </w:rPr>
        <w:t>S5-240463</w:t>
      </w:r>
    </w:p>
    <w:p w14:paraId="78D148B8" w14:textId="77777777" w:rsidR="000729D2" w:rsidRPr="0054358F" w:rsidRDefault="000729D2" w:rsidP="000729D2">
      <w:pPr>
        <w:pStyle w:val="Header"/>
        <w:rPr>
          <w:rFonts w:ascii="Arial" w:eastAsia="Times New Roman" w:hAnsi="Arial"/>
          <w:b/>
          <w:sz w:val="24"/>
        </w:rPr>
      </w:pPr>
      <w:r w:rsidRPr="0054358F">
        <w:rPr>
          <w:rFonts w:ascii="Arial" w:eastAsia="Times New Roman" w:hAnsi="Arial"/>
          <w:b/>
          <w:sz w:val="24"/>
        </w:rPr>
        <w:t>Sevilla, Spain, 29 January - 02 February 2024</w:t>
      </w:r>
    </w:p>
    <w:p w14:paraId="0FDFA399" w14:textId="77777777" w:rsidR="000729D2" w:rsidRPr="00FB3E36" w:rsidRDefault="000729D2" w:rsidP="000729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193D5AA" w14:textId="0A5B6300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Pr="000729D2">
        <w:rPr>
          <w:b/>
          <w:lang w:val="en-US"/>
        </w:rPr>
        <w:t>GSMA</w:t>
      </w:r>
    </w:p>
    <w:p w14:paraId="6F788D42" w14:textId="7C6D468E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729D2">
        <w:rPr>
          <w:rFonts w:cs="Arial"/>
          <w:b/>
        </w:rPr>
        <w:t>LS to 3GPP_Correlation information for API volume based charging</w:t>
      </w:r>
    </w:p>
    <w:p w14:paraId="7ED00725" w14:textId="77777777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DAF257C" w14:textId="53A99FDD" w:rsidR="000729D2" w:rsidRDefault="000729D2" w:rsidP="000729D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Pr="000729D2">
        <w:rPr>
          <w:b/>
        </w:rPr>
        <w:t>7.1</w:t>
      </w:r>
    </w:p>
    <w:bookmarkEnd w:id="0"/>
    <w:p w14:paraId="3C398698" w14:textId="77777777" w:rsidR="000729D2" w:rsidRDefault="000729D2">
      <w:pPr>
        <w:pStyle w:val="Header"/>
        <w:tabs>
          <w:tab w:val="right" w:pos="9356"/>
        </w:tabs>
        <w:jc w:val="center"/>
      </w:pPr>
    </w:p>
    <w:p w14:paraId="07D36B5C" w14:textId="299B0C74" w:rsidR="00EA5D49" w:rsidRDefault="00EA5D49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07D36BA4" wp14:editId="07D36BA5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36B5D" w14:textId="77777777" w:rsidR="00EA5D49" w:rsidRPr="00B71077" w:rsidRDefault="00EA5D49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07D36B5E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07D36B61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5F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0" w14:textId="157A529A" w:rsidR="00EA5D49" w:rsidRPr="00B71077" w:rsidRDefault="00B866DB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866DB">
              <w:rPr>
                <w:rFonts w:ascii="Arial" w:hAnsi="Arial" w:cs="Arial"/>
                <w:lang w:eastAsia="ja-JP"/>
              </w:rPr>
              <w:t>LS to 3GPP_</w:t>
            </w:r>
            <w:r w:rsidR="005A5E26">
              <w:rPr>
                <w:rFonts w:ascii="Arial" w:hAnsi="Arial" w:cs="Arial"/>
                <w:lang w:eastAsia="ja-JP"/>
              </w:rPr>
              <w:t>Correlation information for API volume based charging</w:t>
            </w:r>
          </w:p>
        </w:tc>
      </w:tr>
      <w:tr w:rsidR="00492F4D" w:rsidRPr="00B71077" w14:paraId="07D36B64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2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07D36B65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67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6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07D36B6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68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6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6A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07D36B6F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6C" w14:textId="78DA9E50" w:rsidR="00EA5D49" w:rsidRPr="00B71077" w:rsidRDefault="00EA5D49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ED705D">
              <w:rPr>
                <w:rFonts w:ascii="Arial" w:hAnsi="Arial" w:cs="Arial"/>
                <w:lang w:eastAsia="ja-JP"/>
              </w:rPr>
              <w:t>94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6D" w14:textId="035D8ABD" w:rsidR="00EA5D49" w:rsidRPr="00B71077" w:rsidRDefault="00ED70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ED70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EA5D49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December</w:t>
            </w:r>
            <w:r w:rsidR="00EA5D4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6E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07D36B70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72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71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7D36B76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4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5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EF60CB" w14:paraId="07D36B7A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7" w14:textId="10B5C18A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CB63C0">
              <w:rPr>
                <w:rFonts w:ascii="Arial" w:eastAsia="MS Mincho" w:hAnsi="Arial" w:cs="Arial"/>
                <w:lang w:eastAsia="ja-JP"/>
              </w:rPr>
              <w:t>9</w:t>
            </w:r>
            <w:r w:rsidR="00ED705D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ED705D">
              <w:rPr>
                <w:rFonts w:ascii="Arial" w:eastAsia="MS Mincho" w:hAnsi="Arial" w:cs="Arial"/>
                <w:lang w:eastAsia="ja-JP"/>
              </w:rPr>
              <w:t>_07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78" w14:textId="68C9D642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of </w:t>
            </w:r>
            <w:r w:rsidR="00E25D07">
              <w:rPr>
                <w:rFonts w:ascii="Arial" w:hAnsi="Arial" w:cs="Arial"/>
              </w:rPr>
              <w:t>November</w:t>
            </w:r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79" w14:textId="71B7B870" w:rsidR="00DC4CF3" w:rsidRPr="005A5E26" w:rsidRDefault="005A5E26" w:rsidP="00DC4CF3">
            <w:pPr>
              <w:pStyle w:val="TableText"/>
              <w:rPr>
                <w:rFonts w:ascii="Arial" w:hAnsi="Arial" w:cs="Arial"/>
                <w:lang w:val="es-ES"/>
              </w:rPr>
            </w:pPr>
            <w:r>
              <w:rPr>
                <w:rFonts w:ascii="Arial" w:eastAsia="MS Mincho" w:hAnsi="Arial" w:cs="Arial"/>
                <w:lang w:val="es-ES" w:eastAsia="ja-JP"/>
              </w:rPr>
              <w:t>Mario González del Campo</w:t>
            </w:r>
            <w:r w:rsidR="00DC4CF3" w:rsidRPr="00890F97">
              <w:rPr>
                <w:rFonts w:ascii="Arial" w:eastAsia="MS Mincho" w:hAnsi="Arial" w:cs="Arial"/>
                <w:lang w:val="es-ES" w:eastAsia="ja-JP"/>
              </w:rPr>
              <w:t xml:space="preserve">, </w:t>
            </w:r>
            <w:proofErr w:type="spellStart"/>
            <w:r>
              <w:rPr>
                <w:rFonts w:ascii="Arial" w:eastAsia="MS Mincho" w:hAnsi="Arial" w:cs="Arial"/>
                <w:lang w:val="es-ES" w:eastAsia="ja-JP"/>
              </w:rPr>
              <w:t>Telefonica</w:t>
            </w:r>
            <w:proofErr w:type="spellEnd"/>
          </w:p>
        </w:tc>
      </w:tr>
      <w:tr w:rsidR="00492F4D" w:rsidRPr="00B71077" w14:paraId="07D36B7E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B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C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D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07D36B82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F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80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81" w14:textId="77777777" w:rsidR="00EA5D49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3">
              <w:r w:rsidR="00EA5D49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07D36B83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07D36B85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84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07D36B88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6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7" w14:textId="63B7785A" w:rsidR="00EA5D49" w:rsidRPr="00B71077" w:rsidRDefault="00ED705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CC: </w:t>
            </w:r>
            <w:r w:rsidR="00EA5D49">
              <w:rPr>
                <w:rFonts w:ascii="Arial" w:hAnsi="Arial" w:cs="Arial"/>
              </w:rPr>
              <w:t>OPG</w:t>
            </w:r>
          </w:p>
        </w:tc>
      </w:tr>
      <w:tr w:rsidR="00492F4D" w:rsidRPr="000729D2" w14:paraId="07D36B8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A" w14:textId="584A896F" w:rsidR="00EA5D49" w:rsidRPr="007C01A8" w:rsidRDefault="00EA5D49" w:rsidP="00551CD8">
            <w:pPr>
              <w:pStyle w:val="TableText"/>
              <w:rPr>
                <w:rFonts w:ascii="Arial" w:hAnsi="Arial" w:cs="Arial"/>
                <w:lang w:val="sv-SE"/>
              </w:rPr>
            </w:pPr>
            <w:r w:rsidRPr="00EF60CB">
              <w:rPr>
                <w:rFonts w:ascii="Arial" w:hAnsi="Arial" w:cs="Arial"/>
                <w:lang w:val="fr-FR"/>
              </w:rPr>
              <w:t>TO 3GPP SA</w:t>
            </w:r>
            <w:r w:rsidR="000E435B" w:rsidRPr="007C01A8">
              <w:rPr>
                <w:rFonts w:ascii="Arial" w:hAnsi="Arial" w:cs="Arial"/>
                <w:lang w:val="sv-SE"/>
              </w:rPr>
              <w:t>5</w:t>
            </w:r>
          </w:p>
          <w:p w14:paraId="07D36B8B" w14:textId="6439C8F2" w:rsidR="00EA5D49" w:rsidRPr="00EF60CB" w:rsidRDefault="00EA5D49" w:rsidP="00551CD8">
            <w:pPr>
              <w:pStyle w:val="TableText"/>
              <w:rPr>
                <w:rFonts w:ascii="Arial" w:hAnsi="Arial" w:cs="Arial"/>
                <w:lang w:val="fr-FR"/>
              </w:rPr>
            </w:pPr>
            <w:r w:rsidRPr="00EF60CB">
              <w:rPr>
                <w:rFonts w:ascii="Arial" w:hAnsi="Arial" w:cs="Arial"/>
                <w:lang w:val="fr-FR"/>
              </w:rPr>
              <w:t>CC: 3GPP SA</w:t>
            </w:r>
          </w:p>
        </w:tc>
      </w:tr>
    </w:tbl>
    <w:p w14:paraId="07D36B8D" w14:textId="77777777" w:rsidR="00EA5D49" w:rsidRPr="00EF60CB" w:rsidRDefault="00EA5D49">
      <w:pPr>
        <w:pStyle w:val="NormalParagraph"/>
        <w:rPr>
          <w:lang w:val="fr-FR"/>
        </w:rPr>
      </w:pPr>
    </w:p>
    <w:p w14:paraId="07D36B8E" w14:textId="77777777" w:rsidR="00EA5D49" w:rsidRPr="00EF60CB" w:rsidRDefault="00EA5D49">
      <w:pPr>
        <w:pStyle w:val="NormalParagraph"/>
        <w:rPr>
          <w:lang w:val="fr-FR"/>
        </w:rPr>
      </w:pPr>
      <w:r w:rsidRPr="00EF60CB">
        <w:rPr>
          <w:lang w:val="fr-FR"/>
        </w:rPr>
        <w:br w:type="page"/>
      </w:r>
    </w:p>
    <w:p w14:paraId="07D36B8F" w14:textId="77777777" w:rsidR="00EA5D49" w:rsidRDefault="00EA5D49">
      <w:pPr>
        <w:pStyle w:val="Heading1"/>
        <w:numPr>
          <w:ilvl w:val="0"/>
          <w:numId w:val="2"/>
        </w:numPr>
      </w:pPr>
      <w:bookmarkStart w:id="1" w:name="_Toc74460299"/>
      <w:bookmarkStart w:id="2" w:name="_Toc330993687"/>
      <w:bookmarkStart w:id="3" w:name="_Toc327548204"/>
      <w:bookmarkStart w:id="4" w:name="_Toc327548004"/>
      <w:bookmarkStart w:id="5" w:name="_Toc330993688"/>
      <w:bookmarkStart w:id="6" w:name="_Toc327548205"/>
      <w:bookmarkStart w:id="7" w:name="_Toc327548005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Introduction</w:t>
      </w:r>
    </w:p>
    <w:p w14:paraId="33DD5D8B" w14:textId="2C68F1CA" w:rsidR="00D0358D" w:rsidRDefault="00951B3C" w:rsidP="00242EB1">
      <w:pPr>
        <w:pStyle w:val="NormalParagraph"/>
        <w:jc w:val="both"/>
      </w:pPr>
      <w:r>
        <w:t>The Operator Platform (OP) allows Operators to charge for the services and capabilities that are exposed by an Operator to Application Providers, subscribers</w:t>
      </w:r>
      <w:r w:rsidR="008C5349">
        <w:t xml:space="preserve"> </w:t>
      </w:r>
      <w:r>
        <w:t>and Other Operator Partners.</w:t>
      </w:r>
    </w:p>
    <w:p w14:paraId="3AADFD9B" w14:textId="7B832FBB" w:rsidR="00633EF7" w:rsidRDefault="00633EF7" w:rsidP="00633EF7">
      <w:pPr>
        <w:pStyle w:val="NormalParagraph"/>
        <w:jc w:val="both"/>
      </w:pPr>
      <w:r>
        <w:t xml:space="preserve">Services and capabilities exposed by the Operator Platform have been classified into </w:t>
      </w:r>
      <w:r w:rsidR="00442826">
        <w:t xml:space="preserve">a set of </w:t>
      </w:r>
      <w:r>
        <w:t>different service categories</w:t>
      </w:r>
      <w:r w:rsidR="00890F97">
        <w:t xml:space="preserve"> from a charging perspective</w:t>
      </w:r>
      <w:r w:rsidR="00333877">
        <w:t>.</w:t>
      </w:r>
    </w:p>
    <w:p w14:paraId="7E45C238" w14:textId="29C7AEFE" w:rsidR="00A25FB2" w:rsidRDefault="00A25FB2" w:rsidP="00633EF7">
      <w:pPr>
        <w:pStyle w:val="NormalParagraph"/>
        <w:jc w:val="both"/>
        <w:rPr>
          <w:rFonts w:eastAsia="Times New Roman"/>
        </w:rPr>
      </w:pPr>
      <w:r>
        <w:t xml:space="preserve">In particular there is a service category </w:t>
      </w:r>
      <w:r w:rsidR="00146A51">
        <w:t>called “Network capabilities exposure services with impact on the device’s data usage</w:t>
      </w:r>
      <w:r w:rsidR="008C5018">
        <w:t xml:space="preserve">” </w:t>
      </w:r>
      <w:r w:rsidR="00AB0379">
        <w:t xml:space="preserve">(e.g. CAMARA </w:t>
      </w:r>
      <w:r w:rsidR="00CE0053">
        <w:t>Quality on Demand</w:t>
      </w:r>
      <w:r w:rsidR="00AB0379">
        <w:t xml:space="preserve"> API) </w:t>
      </w:r>
      <w:r w:rsidR="008C5018">
        <w:t xml:space="preserve">where an Operator could choose to do the rating and charging depending on the </w:t>
      </w:r>
      <w:r w:rsidR="000D4E26">
        <w:t xml:space="preserve">data traffic </w:t>
      </w:r>
      <w:r w:rsidR="00C51201">
        <w:t xml:space="preserve">usage </w:t>
      </w:r>
      <w:r w:rsidR="000D4E26">
        <w:t xml:space="preserve">in the Operator’s Network </w:t>
      </w:r>
      <w:r w:rsidR="00FD5C47">
        <w:t xml:space="preserve">(volume based charging model) </w:t>
      </w:r>
      <w:r w:rsidR="00C51201">
        <w:t>as a result of API/service invocation of that type</w:t>
      </w:r>
      <w:r w:rsidR="00223AD3">
        <w:t>.</w:t>
      </w:r>
      <w:r w:rsidR="000D4E26">
        <w:t xml:space="preserve"> </w:t>
      </w:r>
    </w:p>
    <w:p w14:paraId="4871C4E1" w14:textId="3A370A47" w:rsidR="00D70B48" w:rsidRDefault="00A7077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Considering that </w:t>
      </w:r>
      <w:r w:rsidR="00C637A2">
        <w:rPr>
          <w:rFonts w:eastAsia="Times New Roman"/>
        </w:rPr>
        <w:t xml:space="preserve">in this case </w:t>
      </w:r>
      <w:r>
        <w:rPr>
          <w:rFonts w:eastAsia="Times New Roman"/>
        </w:rPr>
        <w:t xml:space="preserve">the Operator’s Charging Engine would need to </w:t>
      </w:r>
      <w:r w:rsidR="00C637A2">
        <w:rPr>
          <w:rFonts w:eastAsia="Times New Roman"/>
        </w:rPr>
        <w:t xml:space="preserve">identify the </w:t>
      </w:r>
      <w:r w:rsidR="00A27E1F">
        <w:rPr>
          <w:rFonts w:eastAsia="Times New Roman"/>
        </w:rPr>
        <w:t xml:space="preserve">data sessions that are impacted by an API/service invocation, </w:t>
      </w:r>
      <w:r w:rsidR="00EA5D49">
        <w:rPr>
          <w:rFonts w:eastAsia="Times New Roman"/>
        </w:rPr>
        <w:t>GSMA Operator Platform API Group (OPAG) would like to</w:t>
      </w:r>
      <w:r w:rsidR="00D70B48">
        <w:rPr>
          <w:rFonts w:eastAsia="Times New Roman"/>
        </w:rPr>
        <w:t xml:space="preserve"> ask assistance from 3GPP </w:t>
      </w:r>
      <w:r w:rsidR="00816E3A">
        <w:rPr>
          <w:rFonts w:eastAsia="Times New Roman"/>
        </w:rPr>
        <w:t xml:space="preserve">SA5 </w:t>
      </w:r>
      <w:r w:rsidR="00D70B48">
        <w:rPr>
          <w:rFonts w:eastAsia="Times New Roman"/>
        </w:rPr>
        <w:t xml:space="preserve">on understanding </w:t>
      </w:r>
      <w:r w:rsidR="0018663F" w:rsidRPr="0018663F">
        <w:rPr>
          <w:rFonts w:eastAsia="Times New Roman"/>
          <w:lang w:val="en-US"/>
        </w:rPr>
        <w:t>wh</w:t>
      </w:r>
      <w:r w:rsidR="0018663F">
        <w:rPr>
          <w:rFonts w:eastAsia="Times New Roman"/>
          <w:lang w:val="en-US"/>
        </w:rPr>
        <w:t xml:space="preserve">at information </w:t>
      </w:r>
      <w:r w:rsidR="00D0358D">
        <w:rPr>
          <w:rFonts w:eastAsia="Times New Roman"/>
          <w:lang w:val="en-US"/>
        </w:rPr>
        <w:t xml:space="preserve">could be used by </w:t>
      </w:r>
      <w:r w:rsidR="00F14FFA">
        <w:rPr>
          <w:rFonts w:eastAsia="Times New Roman"/>
          <w:lang w:val="en-US"/>
        </w:rPr>
        <w:t xml:space="preserve">the Operator’s Charging engine in the charging requests </w:t>
      </w:r>
      <w:r w:rsidR="003A532F">
        <w:rPr>
          <w:rFonts w:eastAsia="Times New Roman"/>
          <w:lang w:val="en-US"/>
        </w:rPr>
        <w:t xml:space="preserve">(Diameter/SBI) </w:t>
      </w:r>
      <w:r w:rsidR="00F14FFA">
        <w:rPr>
          <w:rFonts w:eastAsia="Times New Roman"/>
          <w:lang w:val="en-US"/>
        </w:rPr>
        <w:t>coming from the Operator’s Network</w:t>
      </w:r>
      <w:r w:rsidR="003A532F">
        <w:rPr>
          <w:rFonts w:eastAsia="Times New Roman"/>
          <w:lang w:val="en-US"/>
        </w:rPr>
        <w:t xml:space="preserve"> to </w:t>
      </w:r>
      <w:r w:rsidR="00A74E2F">
        <w:rPr>
          <w:rFonts w:eastAsia="Times New Roman"/>
          <w:lang w:val="en-US"/>
        </w:rPr>
        <w:t>enable this charging model</w:t>
      </w:r>
      <w:r w:rsidR="00852653">
        <w:rPr>
          <w:rFonts w:eastAsia="Times New Roman"/>
        </w:rPr>
        <w:t xml:space="preserve">. </w:t>
      </w:r>
    </w:p>
    <w:p w14:paraId="07D36B93" w14:textId="77777777" w:rsidR="00EA5D49" w:rsidRPr="00A823F9" w:rsidRDefault="00EA5D49" w:rsidP="00A823F9">
      <w:pPr>
        <w:pStyle w:val="Heading1"/>
        <w:numPr>
          <w:ilvl w:val="0"/>
          <w:numId w:val="2"/>
        </w:numPr>
      </w:pPr>
      <w:r>
        <w:t>Overall Description</w:t>
      </w:r>
    </w:p>
    <w:p w14:paraId="4352842E" w14:textId="6EECA9C8" w:rsidR="00837F88" w:rsidRDefault="00B22478" w:rsidP="00F1421D">
      <w:pPr>
        <w:pStyle w:val="NormalParagraph"/>
        <w:jc w:val="both"/>
        <w:rPr>
          <w:lang w:eastAsia="en-US"/>
        </w:rPr>
      </w:pPr>
      <w:r>
        <w:rPr>
          <w:lang w:eastAsia="en-US"/>
        </w:rPr>
        <w:t>S</w:t>
      </w:r>
      <w:r w:rsidR="00431D11">
        <w:rPr>
          <w:lang w:eastAsia="en-US"/>
        </w:rPr>
        <w:t>ervices and capabilities exposed by the Operator Platform have been classified into a set of categories from a charging perspective.</w:t>
      </w:r>
    </w:p>
    <w:p w14:paraId="630C3728" w14:textId="320007E0" w:rsidR="00431D11" w:rsidRDefault="00431D11" w:rsidP="00F1421D">
      <w:pPr>
        <w:pStyle w:val="NormalParagraph"/>
        <w:jc w:val="both"/>
      </w:pPr>
      <w:r>
        <w:rPr>
          <w:lang w:eastAsia="en-US"/>
        </w:rPr>
        <w:t xml:space="preserve">In the case of the service category </w:t>
      </w:r>
      <w:r w:rsidR="00BC5561">
        <w:rPr>
          <w:lang w:eastAsia="en-US"/>
        </w:rPr>
        <w:t>called “</w:t>
      </w:r>
      <w:r w:rsidR="00BC5561">
        <w:t xml:space="preserve">Network capabilities exposure services with impact on the device’s data usage” (e.g. CAMARA Quality on Demand API) an Operator could </w:t>
      </w:r>
      <w:r w:rsidR="00710B91">
        <w:t>choose to do the rating and charging depending on the data traffic usage in the Operator’s Network (volume based charging model) as a result of API/service invocation of that type.</w:t>
      </w:r>
    </w:p>
    <w:p w14:paraId="718A92FF" w14:textId="77777777" w:rsidR="0090408F" w:rsidRDefault="0090408F" w:rsidP="0090408F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The following sequence diagram shows the high-level flow from the API invocation through to charging:</w:t>
      </w:r>
    </w:p>
    <w:p w14:paraId="5F8B8793" w14:textId="2BC54B36" w:rsidR="00710B91" w:rsidRPr="0090408F" w:rsidRDefault="003D61C4" w:rsidP="00F1421D">
      <w:pPr>
        <w:pStyle w:val="NormalParagraph"/>
        <w:jc w:val="both"/>
      </w:pPr>
      <w:r>
        <w:rPr>
          <w:noProof/>
          <w:lang w:eastAsia="en-US" w:bidi="bn-BD"/>
        </w:rPr>
        <w:lastRenderedPageBreak/>
        <w:drawing>
          <wp:inline distT="0" distB="0" distL="0" distR="0" wp14:anchorId="4AE30F1D" wp14:editId="03C7A3BB">
            <wp:extent cx="5578475" cy="3657600"/>
            <wp:effectExtent l="0" t="0" r="3175" b="0"/>
            <wp:docPr id="28" name="Picture 28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Interfaz de usuario gráfic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36B9E" w14:textId="314860B7" w:rsidR="00EA5D49" w:rsidRDefault="007645F7" w:rsidP="003D61C4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There is an ongoing data session of a device in the Operator’s Network. For that data session there is an ongoing charging session between the Operator’s </w:t>
      </w:r>
      <w:r w:rsidR="00E15581">
        <w:rPr>
          <w:rFonts w:eastAsia="Times New Roman"/>
        </w:rPr>
        <w:t>data packet core</w:t>
      </w:r>
      <w:r>
        <w:rPr>
          <w:rFonts w:eastAsia="Times New Roman"/>
        </w:rPr>
        <w:t xml:space="preserve"> and the Operator’s Charging engine. </w:t>
      </w:r>
    </w:p>
    <w:p w14:paraId="4A831445" w14:textId="75A35DAF" w:rsidR="007645F7" w:rsidRDefault="007645F7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This data session (Diameter/SBI) could be managed in online/offline mode depending on the Operator’s decision</w:t>
      </w:r>
      <w:r w:rsidR="00B36D53">
        <w:rPr>
          <w:rFonts w:eastAsia="Times New Roman"/>
        </w:rPr>
        <w:t xml:space="preserve"> following </w:t>
      </w:r>
      <w:r w:rsidR="004A78AC">
        <w:rPr>
          <w:rFonts w:eastAsia="Times New Roman"/>
        </w:rPr>
        <w:t>3GPP TS 32.240 principles.</w:t>
      </w:r>
      <w:r w:rsidR="00E15581">
        <w:rPr>
          <w:rFonts w:eastAsia="Times New Roman"/>
        </w:rPr>
        <w:t xml:space="preserve"> This figure shows the online mode</w:t>
      </w:r>
      <w:r w:rsidR="00753471">
        <w:rPr>
          <w:rFonts w:eastAsia="Times New Roman"/>
        </w:rPr>
        <w:t xml:space="preserve"> as an example.</w:t>
      </w:r>
    </w:p>
    <w:p w14:paraId="4B5A5190" w14:textId="3D5867B1" w:rsidR="00DA1DA3" w:rsidRDefault="00DA1DA3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Data traffic is rated and charged using th</w:t>
      </w:r>
      <w:r w:rsidR="00BC4191">
        <w:rPr>
          <w:rFonts w:eastAsia="Times New Roman"/>
        </w:rPr>
        <w:t>e regular end device’s assets</w:t>
      </w:r>
      <w:r w:rsidR="0047617C">
        <w:rPr>
          <w:rFonts w:eastAsia="Times New Roman"/>
        </w:rPr>
        <w:t xml:space="preserve"> (e.g. monthly allowance or prepaid </w:t>
      </w:r>
      <w:r w:rsidR="00D61E85">
        <w:rPr>
          <w:rFonts w:eastAsia="Times New Roman"/>
        </w:rPr>
        <w:t>add-on packages</w:t>
      </w:r>
      <w:r w:rsidR="0047617C">
        <w:rPr>
          <w:rFonts w:eastAsia="Times New Roman"/>
        </w:rPr>
        <w:t>/balances)</w:t>
      </w:r>
      <w:r w:rsidR="00BC4191">
        <w:rPr>
          <w:rFonts w:eastAsia="Times New Roman"/>
        </w:rPr>
        <w:t>.</w:t>
      </w:r>
    </w:p>
    <w:p w14:paraId="68885946" w14:textId="02709E9F" w:rsidR="00FB3626" w:rsidRDefault="00753471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An Application </w:t>
      </w:r>
      <w:r w:rsidR="004F1AEA">
        <w:rPr>
          <w:rFonts w:eastAsia="Times New Roman"/>
        </w:rPr>
        <w:t>P</w:t>
      </w:r>
      <w:r>
        <w:rPr>
          <w:rFonts w:eastAsia="Times New Roman"/>
        </w:rPr>
        <w:t xml:space="preserve">rovider sends an API request </w:t>
      </w:r>
      <w:r w:rsidR="00FB3626">
        <w:rPr>
          <w:rFonts w:eastAsia="Times New Roman"/>
        </w:rPr>
        <w:t xml:space="preserve">to the Operator Platform </w:t>
      </w:r>
      <w:r w:rsidR="002572B3">
        <w:rPr>
          <w:rFonts w:eastAsia="Times New Roman"/>
        </w:rPr>
        <w:t xml:space="preserve">invoking a service that belongs to this category and identifying the </w:t>
      </w:r>
      <w:r w:rsidR="00926748">
        <w:rPr>
          <w:rFonts w:eastAsia="Times New Roman"/>
        </w:rPr>
        <w:t>data</w:t>
      </w:r>
      <w:r w:rsidR="002572B3">
        <w:rPr>
          <w:rFonts w:eastAsia="Times New Roman"/>
        </w:rPr>
        <w:t xml:space="preserve"> flow </w:t>
      </w:r>
      <w:r w:rsidR="00926748">
        <w:rPr>
          <w:rFonts w:eastAsia="Times New Roman"/>
        </w:rPr>
        <w:t>to which the service should be applied</w:t>
      </w:r>
      <w:r w:rsidR="00FB3626">
        <w:rPr>
          <w:rFonts w:eastAsia="Times New Roman"/>
        </w:rPr>
        <w:t>. The application provider includes in this request a correlation identifier.</w:t>
      </w:r>
    </w:p>
    <w:p w14:paraId="5117BAC9" w14:textId="3581EA64" w:rsidR="0047617C" w:rsidRDefault="00926748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762C01">
        <w:rPr>
          <w:rFonts w:eastAsia="Times New Roman"/>
        </w:rPr>
        <w:t>The Operator Platform sends a request to the Operator’s Network to ask for service delivery</w:t>
      </w:r>
      <w:r w:rsidR="006B167D">
        <w:rPr>
          <w:rFonts w:eastAsia="Times New Roman"/>
        </w:rPr>
        <w:t xml:space="preserve"> also including this correlation information in the request</w:t>
      </w:r>
      <w:r w:rsidR="006529E3">
        <w:rPr>
          <w:rFonts w:eastAsia="Times New Roman"/>
        </w:rPr>
        <w:t>. Typically</w:t>
      </w:r>
      <w:r w:rsidR="004F1AEA">
        <w:rPr>
          <w:rFonts w:eastAsia="Times New Roman"/>
        </w:rPr>
        <w:t>,</w:t>
      </w:r>
      <w:r w:rsidR="006529E3">
        <w:rPr>
          <w:rFonts w:eastAsia="Times New Roman"/>
        </w:rPr>
        <w:t xml:space="preserve"> the entry point in the Operator’s Network for this request will be NEF.</w:t>
      </w:r>
    </w:p>
    <w:p w14:paraId="2D3E5990" w14:textId="09B7A5B4" w:rsidR="006529E3" w:rsidRDefault="00370CA0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Service request is processed in the Operator’s Network and the service starts to be delivered</w:t>
      </w:r>
      <w:r w:rsidR="006F0E62">
        <w:rPr>
          <w:rFonts w:eastAsia="Times New Roman"/>
        </w:rPr>
        <w:t>. ACK is sent back to the Operator Platform.</w:t>
      </w:r>
    </w:p>
    <w:p w14:paraId="2C9CFC44" w14:textId="337EDB2D" w:rsidR="006F0E62" w:rsidRDefault="006F0E62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back the response (ACK) to the Application Provider.</w:t>
      </w:r>
    </w:p>
    <w:p w14:paraId="54CBF0F4" w14:textId="77777777" w:rsidR="006F0E62" w:rsidRDefault="006F0E62" w:rsidP="006F0E62">
      <w:pPr>
        <w:pStyle w:val="NormalParagraph"/>
        <w:ind w:left="780"/>
        <w:jc w:val="both"/>
        <w:rPr>
          <w:rFonts w:eastAsia="Times New Roman"/>
        </w:rPr>
      </w:pPr>
    </w:p>
    <w:p w14:paraId="747F03A4" w14:textId="47BB9CD8" w:rsidR="00CD4F56" w:rsidRDefault="00CD4F56" w:rsidP="006F0E62">
      <w:pPr>
        <w:pStyle w:val="NormalParagraph"/>
        <w:ind w:left="780"/>
        <w:jc w:val="both"/>
        <w:rPr>
          <w:rFonts w:eastAsia="Times New Roman"/>
        </w:rPr>
      </w:pPr>
      <w:r>
        <w:rPr>
          <w:noProof/>
          <w:lang w:eastAsia="en-US" w:bidi="bn-BD"/>
        </w:rPr>
        <w:lastRenderedPageBreak/>
        <w:drawing>
          <wp:inline distT="0" distB="0" distL="0" distR="0" wp14:anchorId="037CE476" wp14:editId="69553C1C">
            <wp:extent cx="5578475" cy="3670300"/>
            <wp:effectExtent l="0" t="0" r="3175" b="0"/>
            <wp:docPr id="37" name="Picture 3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7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39B15" w14:textId="0E98D1C2" w:rsidR="006F0E62" w:rsidRDefault="00E9015A" w:rsidP="0041456D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a charging request to the Operator’s Charging Engine</w:t>
      </w:r>
      <w:r w:rsidR="0038075C">
        <w:rPr>
          <w:rFonts w:eastAsia="Times New Roman"/>
        </w:rPr>
        <w:t xml:space="preserve"> </w:t>
      </w:r>
      <w:r w:rsidR="00F95025">
        <w:rPr>
          <w:rFonts w:eastAsia="Times New Roman"/>
        </w:rPr>
        <w:t>following</w:t>
      </w:r>
      <w:r w:rsidR="0038075C">
        <w:rPr>
          <w:rFonts w:eastAsia="Times New Roman"/>
        </w:rPr>
        <w:t xml:space="preserve"> 3GPP TS 32.254</w:t>
      </w:r>
      <w:r w:rsidR="008E7752">
        <w:rPr>
          <w:rFonts w:eastAsia="Times New Roman"/>
        </w:rPr>
        <w:t xml:space="preserve"> and using the charge request format described in section </w:t>
      </w:r>
      <w:r w:rsidR="008E7752">
        <w:t xml:space="preserve">6.2a “Data </w:t>
      </w:r>
      <w:r w:rsidR="000656FC">
        <w:t>description</w:t>
      </w:r>
      <w:r w:rsidR="008E7752" w:rsidRPr="001B1ED0">
        <w:rPr>
          <w:lang w:val="en-US"/>
        </w:rPr>
        <w:t xml:space="preserve"> for N</w:t>
      </w:r>
      <w:r w:rsidR="008E7752">
        <w:rPr>
          <w:lang w:val="en-US"/>
        </w:rPr>
        <w:t xml:space="preserve">EF converged charging” of that </w:t>
      </w:r>
      <w:r w:rsidR="00CE4BF5">
        <w:rPr>
          <w:lang w:val="en-US"/>
        </w:rPr>
        <w:t>specification</w:t>
      </w:r>
      <w:r w:rsidR="004C36A5">
        <w:rPr>
          <w:lang w:val="en-US"/>
        </w:rPr>
        <w:t>. Correlation identifier is included in that request as part of the API contents section</w:t>
      </w:r>
      <w:r w:rsidR="0041456D">
        <w:rPr>
          <w:lang w:val="en-US"/>
        </w:rPr>
        <w:t>.</w:t>
      </w:r>
      <w:r w:rsidR="0038075C">
        <w:rPr>
          <w:rFonts w:eastAsia="Times New Roman"/>
        </w:rPr>
        <w:t xml:space="preserve"> </w:t>
      </w:r>
    </w:p>
    <w:p w14:paraId="20293C58" w14:textId="56795F30" w:rsidR="003D7423" w:rsidRDefault="003D7423" w:rsidP="003D7423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 xml:space="preserve">Depending on the Operator’s decision this charging request could be used just to store correlation information and </w:t>
      </w:r>
      <w:r w:rsidR="00697070">
        <w:rPr>
          <w:rFonts w:eastAsia="Times New Roman"/>
        </w:rPr>
        <w:t>related API invocation information.</w:t>
      </w:r>
    </w:p>
    <w:p w14:paraId="4E1F3811" w14:textId="5B20FE7A" w:rsidR="00697070" w:rsidRDefault="00EA4AF8" w:rsidP="00697070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Operator’s Charging Engine processes the charging request and sends back the response to the Operator</w:t>
      </w:r>
      <w:r w:rsidR="003D208B">
        <w:rPr>
          <w:rFonts w:eastAsia="Times New Roman"/>
        </w:rPr>
        <w:t xml:space="preserve"> Platform.</w:t>
      </w:r>
    </w:p>
    <w:p w14:paraId="47C8BF4D" w14:textId="77777777" w:rsidR="004E34FD" w:rsidRDefault="003D208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>During service delivery (time/volume</w:t>
      </w:r>
      <w:r w:rsidR="009C1B53">
        <w:rPr>
          <w:rFonts w:eastAsia="Times New Roman"/>
        </w:rPr>
        <w:t xml:space="preserve"> where the </w:t>
      </w:r>
      <w:r w:rsidR="00F268EB">
        <w:rPr>
          <w:rFonts w:eastAsia="Times New Roman"/>
        </w:rPr>
        <w:t>data traffic is impacted by the API call) the charging dialogue between the Operator’s data packet core and the Operator’s Charging Engine will continue.</w:t>
      </w:r>
    </w:p>
    <w:p w14:paraId="42F17F9F" w14:textId="31F1B37A" w:rsidR="002B3A77" w:rsidRDefault="00F268E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In this case, the expectation is that as soon as the </w:t>
      </w:r>
      <w:r w:rsidR="00CE4BF5">
        <w:rPr>
          <w:rFonts w:eastAsia="Times New Roman"/>
        </w:rPr>
        <w:t xml:space="preserve">service starts to be delivered, the information exchanged between the </w:t>
      </w:r>
      <w:r w:rsidR="00DC48D2">
        <w:rPr>
          <w:rFonts w:eastAsia="Times New Roman"/>
        </w:rPr>
        <w:t>Operator’s data packet core and the Operator’s charging engine will</w:t>
      </w:r>
      <w:r w:rsidR="004E34FD">
        <w:rPr>
          <w:rFonts w:eastAsia="Times New Roman"/>
        </w:rPr>
        <w:t xml:space="preserve"> start to include some additional information </w:t>
      </w:r>
      <w:r w:rsidR="00D13EAB">
        <w:rPr>
          <w:rFonts w:eastAsia="Times New Roman"/>
        </w:rPr>
        <w:t xml:space="preserve">that could be used by the Operator’s Charging engine </w:t>
      </w:r>
      <w:r w:rsidR="00C4480E">
        <w:rPr>
          <w:rFonts w:eastAsia="Times New Roman"/>
        </w:rPr>
        <w:t>to</w:t>
      </w:r>
      <w:r w:rsidR="00D13EAB">
        <w:rPr>
          <w:rFonts w:eastAsia="Times New Roman"/>
        </w:rPr>
        <w:t xml:space="preserve"> </w:t>
      </w:r>
      <w:r w:rsidR="009F0881">
        <w:rPr>
          <w:rFonts w:eastAsia="Times New Roman"/>
        </w:rPr>
        <w:t xml:space="preserve">correlate </w:t>
      </w:r>
      <w:r w:rsidR="002D3AF4">
        <w:rPr>
          <w:rFonts w:eastAsia="Times New Roman"/>
        </w:rPr>
        <w:t>the</w:t>
      </w:r>
      <w:r w:rsidR="009F0881">
        <w:rPr>
          <w:rFonts w:eastAsia="Times New Roman"/>
        </w:rPr>
        <w:t xml:space="preserve"> service data usage with the API call invocation. In this way, a </w:t>
      </w:r>
      <w:r w:rsidR="00B210CD">
        <w:rPr>
          <w:rFonts w:eastAsia="Times New Roman"/>
        </w:rPr>
        <w:t>differentiated</w:t>
      </w:r>
      <w:r w:rsidR="009F0881">
        <w:rPr>
          <w:rFonts w:eastAsia="Times New Roman"/>
        </w:rPr>
        <w:t xml:space="preserve"> </w:t>
      </w:r>
      <w:r w:rsidR="00B210CD">
        <w:rPr>
          <w:rFonts w:eastAsia="Times New Roman"/>
        </w:rPr>
        <w:t xml:space="preserve">package/tariff could be used in the Operator’s Charging Engine in order to </w:t>
      </w:r>
      <w:r w:rsidR="000F7427">
        <w:rPr>
          <w:rFonts w:eastAsia="Times New Roman"/>
        </w:rPr>
        <w:t>do the rating and charging</w:t>
      </w:r>
      <w:r w:rsidR="00966E1A">
        <w:rPr>
          <w:rFonts w:eastAsia="Times New Roman"/>
        </w:rPr>
        <w:t xml:space="preserve"> for the service delivery based on the data traffic consumed</w:t>
      </w:r>
      <w:r w:rsidR="000F7427">
        <w:rPr>
          <w:rFonts w:eastAsia="Times New Roman"/>
        </w:rPr>
        <w:t>.</w:t>
      </w:r>
    </w:p>
    <w:p w14:paraId="574BB0F7" w14:textId="4A448DF6" w:rsidR="00D263A4" w:rsidRDefault="002B3A77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OPAG understands that currently there are use cases defined by 3GPP that follow a similar approach </w:t>
      </w:r>
      <w:r w:rsidR="00D263A4">
        <w:rPr>
          <w:rFonts w:eastAsia="Times New Roman"/>
        </w:rPr>
        <w:t xml:space="preserve">to the one described above </w:t>
      </w:r>
      <w:r>
        <w:rPr>
          <w:rFonts w:eastAsia="Times New Roman"/>
        </w:rPr>
        <w:t>(e.g. sponsored connectivity</w:t>
      </w:r>
      <w:r w:rsidR="00D263A4">
        <w:rPr>
          <w:rFonts w:eastAsia="Times New Roman"/>
        </w:rPr>
        <w:t xml:space="preserve"> use cases</w:t>
      </w:r>
      <w:r w:rsidR="00966E1A">
        <w:rPr>
          <w:rFonts w:eastAsia="Times New Roman"/>
        </w:rPr>
        <w:t xml:space="preserve"> where specific information such as the </w:t>
      </w:r>
      <w:proofErr w:type="spellStart"/>
      <w:r w:rsidR="00D87AA2">
        <w:rPr>
          <w:rFonts w:eastAsia="Times New Roman"/>
        </w:rPr>
        <w:t>sponsorIdentify</w:t>
      </w:r>
      <w:proofErr w:type="spellEnd"/>
      <w:r w:rsidR="00D87AA2">
        <w:rPr>
          <w:rFonts w:eastAsia="Times New Roman"/>
        </w:rPr>
        <w:t xml:space="preserve"> or </w:t>
      </w:r>
      <w:proofErr w:type="spellStart"/>
      <w:r w:rsidR="00D87AA2">
        <w:rPr>
          <w:rFonts w:eastAsia="Times New Roman"/>
        </w:rPr>
        <w:t>appServiceProviderIdentity</w:t>
      </w:r>
      <w:proofErr w:type="spellEnd"/>
      <w:r w:rsidR="00D87AA2">
        <w:rPr>
          <w:rFonts w:eastAsia="Times New Roman"/>
        </w:rPr>
        <w:t xml:space="preserve"> has been considered</w:t>
      </w:r>
      <w:r w:rsidR="00D263A4">
        <w:rPr>
          <w:rFonts w:eastAsia="Times New Roman"/>
        </w:rPr>
        <w:t xml:space="preserve">) and would like to get assistance from 3GPP </w:t>
      </w:r>
      <w:r w:rsidR="004A7F59">
        <w:rPr>
          <w:rFonts w:eastAsia="Times New Roman"/>
        </w:rPr>
        <w:t xml:space="preserve">SA5 </w:t>
      </w:r>
      <w:r w:rsidR="00D263A4">
        <w:rPr>
          <w:rFonts w:eastAsia="Times New Roman"/>
        </w:rPr>
        <w:t>on the way to manage this use case so that:</w:t>
      </w:r>
    </w:p>
    <w:p w14:paraId="00CA2854" w14:textId="6F38D68B" w:rsidR="003D208B" w:rsidRDefault="00D263A4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The solution </w:t>
      </w:r>
      <w:r w:rsidR="00671572">
        <w:rPr>
          <w:rFonts w:eastAsia="Times New Roman"/>
        </w:rPr>
        <w:t>is applicable both for Diameter and SBI architectures.</w:t>
      </w:r>
    </w:p>
    <w:p w14:paraId="08AE4B27" w14:textId="77777777" w:rsidR="009E3569" w:rsidRDefault="00671572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is applicable both to online and offline charging scenarios (it will be an Operator’s decision </w:t>
      </w:r>
      <w:r w:rsidR="009E3569">
        <w:rPr>
          <w:rFonts w:eastAsia="Times New Roman"/>
        </w:rPr>
        <w:t>the model to choose)</w:t>
      </w:r>
    </w:p>
    <w:p w14:paraId="700BE8D3" w14:textId="2EC66611" w:rsidR="00671572" w:rsidRPr="001560A3" w:rsidRDefault="009E3569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follows a generic approach (applicable to </w:t>
      </w:r>
      <w:r w:rsidR="00D336E8">
        <w:rPr>
          <w:rFonts w:eastAsia="Times New Roman"/>
        </w:rPr>
        <w:t xml:space="preserve">all potential services/APIs that </w:t>
      </w:r>
      <w:r w:rsidR="006A2764">
        <w:rPr>
          <w:rFonts w:eastAsia="Times New Roman"/>
        </w:rPr>
        <w:t>have similar characteristics)</w:t>
      </w:r>
      <w:r w:rsidR="00671572">
        <w:rPr>
          <w:rFonts w:eastAsia="Times New Roman"/>
        </w:rPr>
        <w:t xml:space="preserve"> </w:t>
      </w:r>
    </w:p>
    <w:p w14:paraId="07D36B9F" w14:textId="77777777" w:rsidR="00EA5D49" w:rsidRPr="00B3270D" w:rsidRDefault="00EA5D49" w:rsidP="00B3270D">
      <w:pPr>
        <w:pStyle w:val="Heading1"/>
        <w:numPr>
          <w:ilvl w:val="0"/>
          <w:numId w:val="2"/>
        </w:numPr>
      </w:pPr>
      <w:r>
        <w:t>Conclusion and actions</w:t>
      </w:r>
    </w:p>
    <w:p w14:paraId="2623ED58" w14:textId="69D6AEF6" w:rsidR="00FB33B9" w:rsidRDefault="00EA5D49">
      <w:pPr>
        <w:pStyle w:val="NormalParagraph"/>
        <w:jc w:val="both"/>
        <w:rPr>
          <w:rFonts w:eastAsia="Times New Roman"/>
          <w:lang w:val="en-US"/>
        </w:rPr>
      </w:pPr>
      <w:r w:rsidRPr="00422BE0">
        <w:rPr>
          <w:rFonts w:eastAsia="Times New Roman"/>
        </w:rPr>
        <w:t xml:space="preserve">OPAG kindly ask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to provide </w:t>
      </w:r>
      <w:r w:rsidR="008638D4">
        <w:rPr>
          <w:rFonts w:eastAsia="Times New Roman"/>
        </w:rPr>
        <w:t xml:space="preserve">input on how to </w:t>
      </w:r>
      <w:r w:rsidR="006A2764" w:rsidRPr="006A2764">
        <w:rPr>
          <w:rFonts w:eastAsia="Times New Roman"/>
          <w:lang w:val="en-US"/>
        </w:rPr>
        <w:t xml:space="preserve">manage </w:t>
      </w:r>
      <w:r w:rsidR="00174E58">
        <w:rPr>
          <w:rFonts w:eastAsia="Times New Roman"/>
          <w:lang w:val="en-US"/>
        </w:rPr>
        <w:t xml:space="preserve">scenarios where it is </w:t>
      </w:r>
      <w:r w:rsidR="00692D1C">
        <w:rPr>
          <w:rFonts w:eastAsia="Times New Roman"/>
          <w:lang w:val="en-US"/>
        </w:rPr>
        <w:t>required</w:t>
      </w:r>
      <w:r w:rsidR="00174E58">
        <w:rPr>
          <w:rFonts w:eastAsia="Times New Roman"/>
          <w:lang w:val="en-US"/>
        </w:rPr>
        <w:t xml:space="preserve"> to correlate service API invocations that impact </w:t>
      </w:r>
      <w:r w:rsidR="000656FC">
        <w:rPr>
          <w:rFonts w:eastAsia="Times New Roman"/>
        </w:rPr>
        <w:t>t</w:t>
      </w:r>
      <w:r w:rsidR="00174E58">
        <w:rPr>
          <w:rFonts w:eastAsia="Times New Roman"/>
          <w:lang w:val="en-US"/>
        </w:rPr>
        <w:t xml:space="preserve">he device’s data traffic </w:t>
      </w:r>
      <w:r w:rsidR="00755706">
        <w:rPr>
          <w:rFonts w:eastAsia="Times New Roman"/>
          <w:lang w:val="en-US"/>
        </w:rPr>
        <w:t>with</w:t>
      </w:r>
      <w:r w:rsidR="00174E58">
        <w:rPr>
          <w:rFonts w:eastAsia="Times New Roman"/>
          <w:lang w:val="en-US"/>
        </w:rPr>
        <w:t xml:space="preserve"> </w:t>
      </w:r>
      <w:r w:rsidR="00692D1C">
        <w:rPr>
          <w:rFonts w:eastAsia="Times New Roman"/>
          <w:lang w:val="en-US"/>
        </w:rPr>
        <w:t xml:space="preserve">the </w:t>
      </w:r>
      <w:r w:rsidR="00174E58">
        <w:rPr>
          <w:rFonts w:eastAsia="Times New Roman"/>
          <w:lang w:val="en-US"/>
        </w:rPr>
        <w:t xml:space="preserve">data </w:t>
      </w:r>
      <w:r w:rsidR="00755706">
        <w:rPr>
          <w:rFonts w:eastAsia="Times New Roman"/>
          <w:lang w:val="en-US"/>
        </w:rPr>
        <w:t>traffic consumed in the Operator’s Network</w:t>
      </w:r>
      <w:r w:rsidR="00FB5EF8">
        <w:rPr>
          <w:rFonts w:eastAsia="Times New Roman"/>
        </w:rPr>
        <w:t>.</w:t>
      </w:r>
    </w:p>
    <w:p w14:paraId="6A613908" w14:textId="4B55140C" w:rsidR="00755706" w:rsidRDefault="00755706">
      <w:pPr>
        <w:pStyle w:val="NormalParagraph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OPAG expect some guidance on:</w:t>
      </w:r>
    </w:p>
    <w:p w14:paraId="42CE7C98" w14:textId="14C3FB09" w:rsidR="00755706" w:rsidRDefault="00755706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information that needs to be provided </w:t>
      </w:r>
      <w:r w:rsidR="004E6496">
        <w:rPr>
          <w:rFonts w:eastAsia="Times New Roman"/>
          <w:lang w:val="en-US"/>
        </w:rPr>
        <w:t xml:space="preserve">to the Operator’s Network </w:t>
      </w:r>
      <w:r w:rsidR="00816E3A">
        <w:rPr>
          <w:rFonts w:eastAsia="Times New Roman"/>
          <w:lang w:val="en-US"/>
        </w:rPr>
        <w:t xml:space="preserve">(NEF/SCEF) </w:t>
      </w:r>
      <w:r w:rsidR="004E6496">
        <w:rPr>
          <w:rFonts w:eastAsia="Times New Roman"/>
          <w:lang w:val="en-US"/>
        </w:rPr>
        <w:t>when asking for the service delivery (step 3 in the previous section)</w:t>
      </w:r>
      <w:r w:rsidR="00EF2F3E">
        <w:rPr>
          <w:rFonts w:eastAsia="Times New Roman"/>
          <w:lang w:val="en-US"/>
        </w:rPr>
        <w:t>. OPAG understand that this is the information that would traverse from the Operator’s NEF</w:t>
      </w:r>
      <w:r w:rsidR="00816E3A">
        <w:rPr>
          <w:rFonts w:eastAsia="Times New Roman"/>
          <w:lang w:val="en-US"/>
        </w:rPr>
        <w:t>/SCEF</w:t>
      </w:r>
      <w:r w:rsidR="00EF2F3E">
        <w:rPr>
          <w:rFonts w:eastAsia="Times New Roman"/>
          <w:lang w:val="en-US"/>
        </w:rPr>
        <w:t xml:space="preserve"> to the Operator’s data packet core and included in the charging requests</w:t>
      </w:r>
      <w:r w:rsidR="004B7670">
        <w:rPr>
          <w:rFonts w:eastAsia="Times New Roman"/>
          <w:lang w:val="en-US"/>
        </w:rPr>
        <w:t xml:space="preserve"> sent from the PGW/SMF</w:t>
      </w:r>
      <w:r w:rsidR="00E110D8">
        <w:rPr>
          <w:rFonts w:eastAsia="Times New Roman"/>
          <w:lang w:val="en-US"/>
        </w:rPr>
        <w:t xml:space="preserve"> to the Operator’s Charging Engine</w:t>
      </w:r>
      <w:r w:rsidR="005A4303">
        <w:rPr>
          <w:rFonts w:eastAsia="Times New Roman"/>
          <w:lang w:val="en-US"/>
        </w:rPr>
        <w:t>.</w:t>
      </w:r>
    </w:p>
    <w:p w14:paraId="44E248A3" w14:textId="12E04AD6" w:rsidR="005A4303" w:rsidRPr="00755706" w:rsidRDefault="005A4303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potential AVPs or Information elements </w:t>
      </w:r>
      <w:r w:rsidR="0014056C">
        <w:rPr>
          <w:rFonts w:eastAsia="Times New Roman"/>
          <w:lang w:val="en-US"/>
        </w:rPr>
        <w:t xml:space="preserve">conveyed in the charging requests </w:t>
      </w:r>
      <w:r>
        <w:rPr>
          <w:rFonts w:eastAsia="Times New Roman"/>
          <w:lang w:val="en-US"/>
        </w:rPr>
        <w:t>that could be used by the Operator</w:t>
      </w:r>
      <w:r w:rsidR="0014056C">
        <w:rPr>
          <w:rFonts w:eastAsia="Times New Roman"/>
          <w:lang w:val="en-US"/>
        </w:rPr>
        <w:t xml:space="preserve">’s Charging Engine </w:t>
      </w:r>
      <w:r w:rsidR="00DE64D3">
        <w:rPr>
          <w:rFonts w:eastAsia="Times New Roman"/>
          <w:lang w:val="en-US"/>
        </w:rPr>
        <w:t>to do the correlation.</w:t>
      </w:r>
      <w:r w:rsidR="0014056C">
        <w:rPr>
          <w:rFonts w:eastAsia="Times New Roman"/>
          <w:lang w:val="en-US"/>
        </w:rPr>
        <w:t xml:space="preserve"> </w:t>
      </w:r>
    </w:p>
    <w:p w14:paraId="7BAC6628" w14:textId="0B8A2555" w:rsidR="00FB5EF8" w:rsidRDefault="00FB5EF8">
      <w:pPr>
        <w:pStyle w:val="NormalParagraph"/>
        <w:jc w:val="both"/>
        <w:rPr>
          <w:rFonts w:eastAsia="Times New Roman"/>
        </w:rPr>
      </w:pPr>
      <w:r w:rsidRPr="00422BE0">
        <w:rPr>
          <w:rFonts w:eastAsia="Times New Roman"/>
        </w:rPr>
        <w:t xml:space="preserve">Such details from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will be helpful to understand </w:t>
      </w:r>
      <w:r w:rsidR="007835E0" w:rsidRPr="007835E0">
        <w:rPr>
          <w:rFonts w:eastAsia="Times New Roman"/>
          <w:lang w:val="en-US"/>
        </w:rPr>
        <w:t>how to enab</w:t>
      </w:r>
      <w:r w:rsidR="007835E0">
        <w:rPr>
          <w:rFonts w:eastAsia="Times New Roman"/>
          <w:lang w:val="en-US"/>
        </w:rPr>
        <w:t xml:space="preserve">le </w:t>
      </w:r>
      <w:r w:rsidR="000656FC">
        <w:rPr>
          <w:rFonts w:eastAsia="Times New Roman"/>
          <w:lang w:val="en-US"/>
        </w:rPr>
        <w:t>volume-based</w:t>
      </w:r>
      <w:r w:rsidR="007835E0">
        <w:rPr>
          <w:rFonts w:eastAsia="Times New Roman"/>
          <w:lang w:val="en-US"/>
        </w:rPr>
        <w:t xml:space="preserve"> charging models </w:t>
      </w:r>
      <w:r w:rsidR="001F7B1B">
        <w:rPr>
          <w:rFonts w:eastAsia="Times New Roman"/>
          <w:lang w:val="en-US"/>
        </w:rPr>
        <w:t>for the Operator’s services/capabilities exposure</w:t>
      </w:r>
      <w:r w:rsidRPr="00422BE0">
        <w:rPr>
          <w:rFonts w:eastAsia="Times New Roman"/>
        </w:rPr>
        <w:t xml:space="preserve">. </w:t>
      </w:r>
    </w:p>
    <w:p w14:paraId="06938CDF" w14:textId="4523FDA3" w:rsidR="00ED705D" w:rsidRDefault="00ED705D" w:rsidP="00ED705D">
      <w:pPr>
        <w:pStyle w:val="Heading1"/>
        <w:numPr>
          <w:ilvl w:val="0"/>
          <w:numId w:val="2"/>
        </w:numPr>
      </w:pPr>
      <w:r>
        <w:t>Future OPAG meetings</w:t>
      </w:r>
    </w:p>
    <w:p w14:paraId="658FF398" w14:textId="77777777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Weekly Meetings, Thursdays, Virtual</w:t>
      </w:r>
    </w:p>
    <w:p w14:paraId="5E80EAFA" w14:textId="2114C4D6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Hybrid F2F, 13-14 March 2024, Bangalore, India</w:t>
      </w:r>
    </w:p>
    <w:p w14:paraId="24666092" w14:textId="77777777" w:rsidR="00ED705D" w:rsidRPr="00422BE0" w:rsidRDefault="00ED705D">
      <w:pPr>
        <w:pStyle w:val="NormalParagraph"/>
        <w:jc w:val="both"/>
        <w:rPr>
          <w:rFonts w:eastAsia="Times New Roman"/>
        </w:rPr>
      </w:pPr>
    </w:p>
    <w:sectPr w:rsidR="00ED705D" w:rsidRPr="00422BE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874E" w14:textId="77777777" w:rsidR="00A96E00" w:rsidRDefault="00A96E00">
      <w:pPr>
        <w:spacing w:before="0"/>
      </w:pPr>
      <w:r>
        <w:separator/>
      </w:r>
    </w:p>
  </w:endnote>
  <w:endnote w:type="continuationSeparator" w:id="0">
    <w:p w14:paraId="68DA0F65" w14:textId="77777777" w:rsidR="00A96E00" w:rsidRDefault="00A96E0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Microsoft Sans Serif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1C6F" w14:textId="77777777" w:rsidR="00AA6C37" w:rsidRDefault="00AA6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7" w14:textId="77777777" w:rsidR="00EA5D49" w:rsidRDefault="00EA5D49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81EF" w14:textId="77777777" w:rsidR="00AA6C37" w:rsidRDefault="00AA6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3F6B" w14:textId="77777777" w:rsidR="00A96E00" w:rsidRDefault="00A96E00">
      <w:pPr>
        <w:spacing w:before="0"/>
      </w:pPr>
      <w:r>
        <w:separator/>
      </w:r>
    </w:p>
  </w:footnote>
  <w:footnote w:type="continuationSeparator" w:id="0">
    <w:p w14:paraId="16CDFDBE" w14:textId="77777777" w:rsidR="00A96E00" w:rsidRDefault="00A96E0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6" w14:textId="77777777" w:rsidR="00EA5D49" w:rsidRDefault="00EA5D49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E85"/>
    <w:multiLevelType w:val="hybridMultilevel"/>
    <w:tmpl w:val="7F30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9E72081"/>
    <w:multiLevelType w:val="hybridMultilevel"/>
    <w:tmpl w:val="7D104ACA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537A9"/>
    <w:multiLevelType w:val="hybridMultilevel"/>
    <w:tmpl w:val="50A2A70E"/>
    <w:lvl w:ilvl="0" w:tplc="BA166E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6622E"/>
    <w:multiLevelType w:val="hybridMultilevel"/>
    <w:tmpl w:val="AC1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A4F33"/>
    <w:multiLevelType w:val="hybridMultilevel"/>
    <w:tmpl w:val="41ACC7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7826440"/>
    <w:multiLevelType w:val="hybridMultilevel"/>
    <w:tmpl w:val="4F1C40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763E6"/>
    <w:multiLevelType w:val="hybridMultilevel"/>
    <w:tmpl w:val="635AF06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C156B"/>
    <w:multiLevelType w:val="hybridMultilevel"/>
    <w:tmpl w:val="A55E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0075">
    <w:abstractNumId w:val="8"/>
  </w:num>
  <w:num w:numId="2" w16cid:durableId="369689476">
    <w:abstractNumId w:val="18"/>
  </w:num>
  <w:num w:numId="3" w16cid:durableId="2127846929">
    <w:abstractNumId w:val="5"/>
  </w:num>
  <w:num w:numId="4" w16cid:durableId="167141866">
    <w:abstractNumId w:val="9"/>
  </w:num>
  <w:num w:numId="5" w16cid:durableId="547765499">
    <w:abstractNumId w:val="2"/>
  </w:num>
  <w:num w:numId="6" w16cid:durableId="162088826">
    <w:abstractNumId w:val="17"/>
  </w:num>
  <w:num w:numId="7" w16cid:durableId="903874590">
    <w:abstractNumId w:val="21"/>
  </w:num>
  <w:num w:numId="8" w16cid:durableId="1163426787">
    <w:abstractNumId w:val="15"/>
  </w:num>
  <w:num w:numId="9" w16cid:durableId="1824354201">
    <w:abstractNumId w:val="19"/>
  </w:num>
  <w:num w:numId="10" w16cid:durableId="2123918369">
    <w:abstractNumId w:val="1"/>
  </w:num>
  <w:num w:numId="11" w16cid:durableId="839009452">
    <w:abstractNumId w:val="10"/>
  </w:num>
  <w:num w:numId="12" w16cid:durableId="1148018425">
    <w:abstractNumId w:val="14"/>
  </w:num>
  <w:num w:numId="13" w16cid:durableId="1364482123">
    <w:abstractNumId w:val="0"/>
  </w:num>
  <w:num w:numId="14" w16cid:durableId="506821880">
    <w:abstractNumId w:val="8"/>
  </w:num>
  <w:num w:numId="15" w16cid:durableId="506023472">
    <w:abstractNumId w:val="11"/>
  </w:num>
  <w:num w:numId="16" w16cid:durableId="2048680011">
    <w:abstractNumId w:val="13"/>
  </w:num>
  <w:num w:numId="17" w16cid:durableId="685866490">
    <w:abstractNumId w:val="6"/>
  </w:num>
  <w:num w:numId="18" w16cid:durableId="143592067">
    <w:abstractNumId w:val="16"/>
  </w:num>
  <w:num w:numId="19" w16cid:durableId="2098743826">
    <w:abstractNumId w:val="12"/>
  </w:num>
  <w:num w:numId="20" w16cid:durableId="2027749562">
    <w:abstractNumId w:val="3"/>
  </w:num>
  <w:num w:numId="21" w16cid:durableId="1940984478">
    <w:abstractNumId w:val="20"/>
  </w:num>
  <w:num w:numId="22" w16cid:durableId="1195969189">
    <w:abstractNumId w:val="7"/>
  </w:num>
  <w:num w:numId="23" w16cid:durableId="701057853">
    <w:abstractNumId w:val="4"/>
  </w:num>
  <w:num w:numId="24" w16cid:durableId="8220841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A2tTA0MjA0MjRR0lEKTi0uzszPAykwqQUAN9c1UCwAAAA="/>
  </w:docVars>
  <w:rsids>
    <w:rsidRoot w:val="000E435B"/>
    <w:rsid w:val="00012F95"/>
    <w:rsid w:val="00031BFA"/>
    <w:rsid w:val="00032E23"/>
    <w:rsid w:val="000656FC"/>
    <w:rsid w:val="0007024F"/>
    <w:rsid w:val="000729D2"/>
    <w:rsid w:val="000918E5"/>
    <w:rsid w:val="000D4E26"/>
    <w:rsid w:val="000E435B"/>
    <w:rsid w:val="000F17A6"/>
    <w:rsid w:val="000F7427"/>
    <w:rsid w:val="0014056C"/>
    <w:rsid w:val="00146A51"/>
    <w:rsid w:val="00174E58"/>
    <w:rsid w:val="0018663F"/>
    <w:rsid w:val="001F7B1B"/>
    <w:rsid w:val="00223AD3"/>
    <w:rsid w:val="00246E4F"/>
    <w:rsid w:val="002572B3"/>
    <w:rsid w:val="002B3A77"/>
    <w:rsid w:val="002D00DD"/>
    <w:rsid w:val="002D3AF4"/>
    <w:rsid w:val="00333877"/>
    <w:rsid w:val="00370CA0"/>
    <w:rsid w:val="0038075C"/>
    <w:rsid w:val="00392FA4"/>
    <w:rsid w:val="003A532F"/>
    <w:rsid w:val="003D208B"/>
    <w:rsid w:val="003D61C4"/>
    <w:rsid w:val="003D7423"/>
    <w:rsid w:val="003F201C"/>
    <w:rsid w:val="00402945"/>
    <w:rsid w:val="0041456D"/>
    <w:rsid w:val="00422BE0"/>
    <w:rsid w:val="00431D11"/>
    <w:rsid w:val="00442826"/>
    <w:rsid w:val="0047617C"/>
    <w:rsid w:val="004A6854"/>
    <w:rsid w:val="004A78AC"/>
    <w:rsid w:val="004A7F59"/>
    <w:rsid w:val="004B7670"/>
    <w:rsid w:val="004C36A5"/>
    <w:rsid w:val="004C73BB"/>
    <w:rsid w:val="004E34FD"/>
    <w:rsid w:val="004E6496"/>
    <w:rsid w:val="004F1AEA"/>
    <w:rsid w:val="004F4D63"/>
    <w:rsid w:val="00516FDA"/>
    <w:rsid w:val="0054358F"/>
    <w:rsid w:val="00546317"/>
    <w:rsid w:val="005A4303"/>
    <w:rsid w:val="005A5E26"/>
    <w:rsid w:val="00604F10"/>
    <w:rsid w:val="0061034B"/>
    <w:rsid w:val="00631934"/>
    <w:rsid w:val="00633EF7"/>
    <w:rsid w:val="006449D8"/>
    <w:rsid w:val="006529E3"/>
    <w:rsid w:val="0065574A"/>
    <w:rsid w:val="00671572"/>
    <w:rsid w:val="00692D1C"/>
    <w:rsid w:val="00697070"/>
    <w:rsid w:val="006A2764"/>
    <w:rsid w:val="006B167D"/>
    <w:rsid w:val="006F0E62"/>
    <w:rsid w:val="006F66E7"/>
    <w:rsid w:val="00710B91"/>
    <w:rsid w:val="00713B83"/>
    <w:rsid w:val="00753471"/>
    <w:rsid w:val="00755706"/>
    <w:rsid w:val="007604E2"/>
    <w:rsid w:val="00762C01"/>
    <w:rsid w:val="007645F7"/>
    <w:rsid w:val="007835E0"/>
    <w:rsid w:val="007A0338"/>
    <w:rsid w:val="007B3E93"/>
    <w:rsid w:val="007C01A8"/>
    <w:rsid w:val="007C0CEE"/>
    <w:rsid w:val="008005C2"/>
    <w:rsid w:val="00816E3A"/>
    <w:rsid w:val="00834763"/>
    <w:rsid w:val="00837F88"/>
    <w:rsid w:val="00852653"/>
    <w:rsid w:val="00857810"/>
    <w:rsid w:val="008638D4"/>
    <w:rsid w:val="00890F97"/>
    <w:rsid w:val="0089412D"/>
    <w:rsid w:val="008A4559"/>
    <w:rsid w:val="008C5018"/>
    <w:rsid w:val="008C5349"/>
    <w:rsid w:val="008E7752"/>
    <w:rsid w:val="008F3548"/>
    <w:rsid w:val="00902DE6"/>
    <w:rsid w:val="0090408F"/>
    <w:rsid w:val="0091049E"/>
    <w:rsid w:val="009106D5"/>
    <w:rsid w:val="00926748"/>
    <w:rsid w:val="00951B3C"/>
    <w:rsid w:val="00966E1A"/>
    <w:rsid w:val="0098461C"/>
    <w:rsid w:val="009961F5"/>
    <w:rsid w:val="009C1B53"/>
    <w:rsid w:val="009E3569"/>
    <w:rsid w:val="009F0881"/>
    <w:rsid w:val="009F4860"/>
    <w:rsid w:val="00A25FB2"/>
    <w:rsid w:val="00A27E1F"/>
    <w:rsid w:val="00A42F84"/>
    <w:rsid w:val="00A47749"/>
    <w:rsid w:val="00A70770"/>
    <w:rsid w:val="00A74E2F"/>
    <w:rsid w:val="00A80718"/>
    <w:rsid w:val="00A80743"/>
    <w:rsid w:val="00A96E00"/>
    <w:rsid w:val="00A96E19"/>
    <w:rsid w:val="00AA0214"/>
    <w:rsid w:val="00AA6C37"/>
    <w:rsid w:val="00AB0379"/>
    <w:rsid w:val="00AF0A27"/>
    <w:rsid w:val="00B0511B"/>
    <w:rsid w:val="00B210CD"/>
    <w:rsid w:val="00B22478"/>
    <w:rsid w:val="00B36D53"/>
    <w:rsid w:val="00B866DB"/>
    <w:rsid w:val="00BA0E0D"/>
    <w:rsid w:val="00BC4191"/>
    <w:rsid w:val="00BC5561"/>
    <w:rsid w:val="00BD6D15"/>
    <w:rsid w:val="00BE57EA"/>
    <w:rsid w:val="00BF41B8"/>
    <w:rsid w:val="00C21137"/>
    <w:rsid w:val="00C4480E"/>
    <w:rsid w:val="00C51201"/>
    <w:rsid w:val="00C637A2"/>
    <w:rsid w:val="00C81174"/>
    <w:rsid w:val="00CB63C0"/>
    <w:rsid w:val="00CD4F56"/>
    <w:rsid w:val="00CE0053"/>
    <w:rsid w:val="00CE4BF5"/>
    <w:rsid w:val="00CE50C5"/>
    <w:rsid w:val="00D0358D"/>
    <w:rsid w:val="00D13EAB"/>
    <w:rsid w:val="00D263A4"/>
    <w:rsid w:val="00D336E8"/>
    <w:rsid w:val="00D40C8B"/>
    <w:rsid w:val="00D61E85"/>
    <w:rsid w:val="00D70B48"/>
    <w:rsid w:val="00D87AA2"/>
    <w:rsid w:val="00DA1DA3"/>
    <w:rsid w:val="00DB1476"/>
    <w:rsid w:val="00DC48D2"/>
    <w:rsid w:val="00DC4CF3"/>
    <w:rsid w:val="00DD24C2"/>
    <w:rsid w:val="00DE64D3"/>
    <w:rsid w:val="00E110D8"/>
    <w:rsid w:val="00E15581"/>
    <w:rsid w:val="00E25D07"/>
    <w:rsid w:val="00E9015A"/>
    <w:rsid w:val="00EA4AF8"/>
    <w:rsid w:val="00EA5D49"/>
    <w:rsid w:val="00ED705D"/>
    <w:rsid w:val="00EF2F3E"/>
    <w:rsid w:val="00EF60CB"/>
    <w:rsid w:val="00F14FFA"/>
    <w:rsid w:val="00F268EB"/>
    <w:rsid w:val="00F6766D"/>
    <w:rsid w:val="00F718A3"/>
    <w:rsid w:val="00F95025"/>
    <w:rsid w:val="00FB27F3"/>
    <w:rsid w:val="00FB33B9"/>
    <w:rsid w:val="00FB3626"/>
    <w:rsid w:val="00FB5EF8"/>
    <w:rsid w:val="00FC23A4"/>
    <w:rsid w:val="00FD0C67"/>
    <w:rsid w:val="00FD2B87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6B5C"/>
  <w15:docId w15:val="{DA77537F-80A5-4F98-91D4-40791652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aliases w:val="header odd,header,header odd1,header odd2,header odd3,header odd4,header odd5,header odd6"/>
    <w:link w:val="HeaderChar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uiPriority w:val="2"/>
    <w:qFormat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0729D2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729D2"/>
  </w:style>
  <w:style w:type="paragraph" w:customStyle="1" w:styleId="LSHeader">
    <w:name w:val="LSHeader"/>
    <w:rsid w:val="0054358F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541ca356-837b-4007-af8b-4284be031b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20" ma:contentTypeDescription="Create a new document." ma:contentTypeScope="" ma:versionID="5384d42adfa116574b406e7199c22f91">
  <xsd:schema xmlns:xsd="http://www.w3.org/2001/XMLSchema" xmlns:xs="http://www.w3.org/2001/XMLSchema" xmlns:p="http://schemas.microsoft.com/office/2006/metadata/properties" xmlns:ns2="541ca356-837b-4007-af8b-4284be031b02" xmlns:ns3="042849a8-708d-4484-ba8e-78db4b11d06f" xmlns:ns4="2e6e0491-aa75-4400-a05d-30f178733391" targetNamespace="http://schemas.microsoft.com/office/2006/metadata/properties" ma:root="true" ma:fieldsID="d1ee97dc4ac1fa4ad66b61557c9a9cfa" ns2:_="" ns3:_="" ns4:_="">
    <xsd:import namespace="541ca356-837b-4007-af8b-4284be031b02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413ab4-0883-4a34-b023-1892c54883df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541ca356-837b-4007-af8b-4284be031b02"/>
  </ds:schemaRefs>
</ds:datastoreItem>
</file>

<file path=customXml/itemProps2.xml><?xml version="1.0" encoding="utf-8"?>
<ds:datastoreItem xmlns:ds="http://schemas.openxmlformats.org/officeDocument/2006/customXml" ds:itemID="{58400B8A-0264-4364-A4DD-02AB3B402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411DA-6CEA-4B2A-9F6A-56F3EB900E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van Pelt</dc:creator>
  <cp:lastModifiedBy>32.297_CR0041R1_(Rel-18)_TSN_CH</cp:lastModifiedBy>
  <cp:revision>8</cp:revision>
  <dcterms:created xsi:type="dcterms:W3CDTF">2023-12-15T10:19:00Z</dcterms:created>
  <dcterms:modified xsi:type="dcterms:W3CDTF">2024-04-05T11:08:00Z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e65bd4d2-aa7c-445f-9ef8-222ebb1d2b43_Enabled">
    <vt:lpwstr>true</vt:lpwstr>
  </property>
  <property fmtid="{D5CDD505-2E9C-101B-9397-08002B2CF9AE}" pid="4" name="MSIP_Label_e65bd4d2-aa7c-445f-9ef8-222ebb1d2b43_SetDate">
    <vt:lpwstr>2023-11-24T10:00:08Z</vt:lpwstr>
  </property>
  <property fmtid="{D5CDD505-2E9C-101B-9397-08002B2CF9AE}" pid="5" name="MSIP_Label_e65bd4d2-aa7c-445f-9ef8-222ebb1d2b43_Method">
    <vt:lpwstr>Privileged</vt:lpwstr>
  </property>
  <property fmtid="{D5CDD505-2E9C-101B-9397-08002B2CF9AE}" pid="6" name="MSIP_Label_e65bd4d2-aa7c-445f-9ef8-222ebb1d2b43_Name">
    <vt:lpwstr>e65bd4d2-aa7c-445f-9ef8-222ebb1d2b43</vt:lpwstr>
  </property>
  <property fmtid="{D5CDD505-2E9C-101B-9397-08002B2CF9AE}" pid="7" name="MSIP_Label_e65bd4d2-aa7c-445f-9ef8-222ebb1d2b43_SiteId">
    <vt:lpwstr>9744600e-3e04-492e-baa1-25ec245c6f10</vt:lpwstr>
  </property>
  <property fmtid="{D5CDD505-2E9C-101B-9397-08002B2CF9AE}" pid="8" name="MSIP_Label_e65bd4d2-aa7c-445f-9ef8-222ebb1d2b43_ActionId">
    <vt:lpwstr>b51ecde6-7c7b-43ce-9d98-3065e6a11549</vt:lpwstr>
  </property>
  <property fmtid="{D5CDD505-2E9C-101B-9397-08002B2CF9AE}" pid="9" name="MSIP_Label_e65bd4d2-aa7c-445f-9ef8-222ebb1d2b43_ContentBits">
    <vt:lpwstr>2</vt:lpwstr>
  </property>
  <property fmtid="{D5CDD505-2E9C-101B-9397-08002B2CF9AE}" pid="10" name="MediaServiceImageTags">
    <vt:lpwstr/>
  </property>
</Properties>
</file>