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7CA941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w:t>
      </w:r>
      <w:r w:rsidR="0033324B">
        <w:rPr>
          <w:rFonts w:ascii="Arial" w:hAnsi="Arial" w:cs="Arial"/>
          <w:szCs w:val="24"/>
          <w:lang w:val="en-US" w:eastAsia="ja-JP"/>
        </w:rPr>
        <w:t>0</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1134C1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22DC26A9" w14:textId="4C05A66B" w:rsidR="00BB61D5" w:rsidRDefault="00B40430" w:rsidP="00AB234E">
      <w:pPr>
        <w:rPr>
          <w:lang w:val="en-US"/>
        </w:rPr>
      </w:pPr>
      <w:r>
        <w:rPr>
          <w:lang w:val="en-US"/>
        </w:rPr>
        <w:t xml:space="preserve">Avatars are used in immersive communications to represent the users in the call. </w:t>
      </w:r>
      <w:r w:rsidR="00444A1C">
        <w:rPr>
          <w:lang w:val="en-US"/>
        </w:rPr>
        <w:t xml:space="preserve">A user may use an application or service of their liking to generate their animatable Avatar. </w:t>
      </w:r>
      <w:r w:rsidR="002B3E5E">
        <w:rPr>
          <w:lang w:val="en-US"/>
        </w:rPr>
        <w:t>During the call setup, the user may offer the</w:t>
      </w:r>
      <w:r w:rsidR="00BB61D5">
        <w:rPr>
          <w:lang w:val="en-US"/>
        </w:rPr>
        <w:t>ir</w:t>
      </w:r>
      <w:r w:rsidR="002B3E5E">
        <w:rPr>
          <w:lang w:val="en-US"/>
        </w:rPr>
        <w:t xml:space="preserve"> preferred Avatar format</w:t>
      </w:r>
      <w:r w:rsidR="00533FE4">
        <w:rPr>
          <w:lang w:val="en-US"/>
        </w:rPr>
        <w:t xml:space="preserve"> (the format in which they have captured and stored their Avatar representation)</w:t>
      </w:r>
      <w:r w:rsidR="002B3E5E">
        <w:rPr>
          <w:lang w:val="en-US"/>
        </w:rPr>
        <w:t xml:space="preserve"> to other users. </w:t>
      </w:r>
      <w:r w:rsidR="00533FE4">
        <w:rPr>
          <w:lang w:val="en-US"/>
        </w:rPr>
        <w:t>This raises inter-operability issues for service providers, given that the number of proprietary Avatar formats is rising rapidly.</w:t>
      </w:r>
    </w:p>
    <w:p w14:paraId="654218F3" w14:textId="09DD0037" w:rsidR="00B20D7B" w:rsidRPr="00AB234E" w:rsidRDefault="0083671E" w:rsidP="00AB234E">
      <w:pPr>
        <w:rPr>
          <w:lang w:val="en-US"/>
        </w:rPr>
      </w:pPr>
      <w:r>
        <w:rPr>
          <w:lang w:val="en-US"/>
        </w:rPr>
        <w:t xml:space="preserve">In this contribution, we </w:t>
      </w:r>
      <w:r w:rsidR="00BB61D5">
        <w:rPr>
          <w:lang w:val="en-US"/>
        </w:rPr>
        <w:t>discuss interoperability aspects in a communication scenario using Avatars</w:t>
      </w:r>
      <w:r w:rsidR="00B20D7B">
        <w:rPr>
          <w:lang w:val="en-US"/>
        </w:rPr>
        <w:t>.</w:t>
      </w:r>
    </w:p>
    <w:p w14:paraId="3551B604" w14:textId="14FC2CB4" w:rsidR="00F108B7" w:rsidRDefault="00533FE4" w:rsidP="00F108B7">
      <w:pPr>
        <w:pStyle w:val="Heading1"/>
        <w:numPr>
          <w:ilvl w:val="0"/>
          <w:numId w:val="3"/>
        </w:numPr>
      </w:pPr>
      <w:r>
        <w:t>Interoperability considerations</w:t>
      </w:r>
    </w:p>
    <w:p w14:paraId="14280093" w14:textId="4FAE07C0" w:rsidR="00BB61D5" w:rsidRPr="00BB61D5" w:rsidRDefault="00BB61D5" w:rsidP="00BB61D5">
      <w:r w:rsidRPr="00BB61D5">
        <w:t xml:space="preserve">The advantage that can be achieved by </w:t>
      </w:r>
      <w:r w:rsidR="00533FE4">
        <w:t>offering the Avatar representation in which the user has captured/stored their Avatar representation</w:t>
      </w:r>
      <w:r w:rsidRPr="00BB61D5">
        <w:t xml:space="preserve"> lies in the optimal usage of the animation streams and base model characteristics during the Avatar animation.</w:t>
      </w:r>
      <w:r w:rsidR="00533FE4">
        <w:t xml:space="preserve"> An animation process that matches the Avatar format will ensure no fidelity loss and high quality. </w:t>
      </w:r>
      <w:r w:rsidRPr="00BB61D5">
        <w:t xml:space="preserve"> </w:t>
      </w:r>
    </w:p>
    <w:p w14:paraId="16585789" w14:textId="7D544D09" w:rsidR="007740CD" w:rsidRDefault="00BB61D5" w:rsidP="00BB61D5">
      <w:r w:rsidRPr="00BB61D5">
        <w:t xml:space="preserve">As an example, an Avatar format may support a blend-shape based animation with the ability to animate </w:t>
      </w:r>
      <w:r w:rsidR="00742379">
        <w:t>87</w:t>
      </w:r>
      <w:r w:rsidRPr="00BB61D5">
        <w:t xml:space="preserve"> </w:t>
      </w:r>
      <w:proofErr w:type="spellStart"/>
      <w:r w:rsidRPr="00BB61D5">
        <w:t>blendshapes</w:t>
      </w:r>
      <w:proofErr w:type="spellEnd"/>
      <w:r w:rsidRPr="00BB61D5">
        <w:t xml:space="preserve"> for an accurate facial expression. If the receivers support the corresponding base avatar and the animation stream formats, then they will benefit from a high-fidelity Avatar animation.</w:t>
      </w:r>
    </w:p>
    <w:p w14:paraId="68DDAEF0" w14:textId="77777777" w:rsidR="00F2027D" w:rsidRDefault="00533FE4" w:rsidP="00BB61D5">
      <w:r>
        <w:t xml:space="preserve">However, to ensure interoperability of the service, a simple format that can serve as a common denominator for all Avatar representation formats is needed. This representation format is offered as a fallback by all participants that wish to participate in the </w:t>
      </w:r>
      <w:r w:rsidR="00F2027D">
        <w:t xml:space="preserve">immersive session. </w:t>
      </w:r>
    </w:p>
    <w:p w14:paraId="653CE5B3" w14:textId="178DAEED" w:rsidR="00533FE4" w:rsidRDefault="00F2027D" w:rsidP="00BB61D5">
      <w:r>
        <w:t>In the case of multiple participants in the session, a Media Gateway may be responsible for injecting the fallback representation format into the offers and answers by the different participants. The Media Gateway will then be responsible for converting between these formats whenever needed as shown in the following figure.</w:t>
      </w:r>
    </w:p>
    <w:p w14:paraId="2A1D2AD5" w14:textId="14C9D050" w:rsidR="00F2027D" w:rsidRDefault="00742379" w:rsidP="00BB61D5">
      <w:r>
        <w:rPr>
          <w:noProof/>
        </w:rPr>
        <w:lastRenderedPageBreak/>
        <w:drawing>
          <wp:inline distT="0" distB="0" distL="0" distR="0" wp14:anchorId="3431D267" wp14:editId="7B800BA0">
            <wp:extent cx="5387962" cy="3006774"/>
            <wp:effectExtent l="0" t="0" r="3810" b="3175"/>
            <wp:docPr id="788105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8685" cy="3018339"/>
                    </a:xfrm>
                    <a:prstGeom prst="rect">
                      <a:avLst/>
                    </a:prstGeom>
                    <a:noFill/>
                  </pic:spPr>
                </pic:pic>
              </a:graphicData>
            </a:graphic>
          </wp:inline>
        </w:drawing>
      </w:r>
    </w:p>
    <w:p w14:paraId="1D9CB2CE" w14:textId="2DBA6CBB" w:rsidR="00742379" w:rsidRDefault="00742379" w:rsidP="00BB61D5">
      <w:r>
        <w:t xml:space="preserve">For this approach to work, it should be possible to convert any proprietary Avatar representation format into the common representation. This requirement applies to both the base model format as well as to the animation streams. </w:t>
      </w:r>
      <w:r w:rsidR="00B26829">
        <w:t>This process is depicted by the following figure:</w:t>
      </w:r>
    </w:p>
    <w:p w14:paraId="6BD111CA" w14:textId="59975063" w:rsidR="00B26829" w:rsidRDefault="00B26829" w:rsidP="00BB61D5">
      <w:r>
        <w:rPr>
          <w:noProof/>
        </w:rPr>
        <w:drawing>
          <wp:inline distT="0" distB="0" distL="0" distR="0" wp14:anchorId="201301F3" wp14:editId="3887878C">
            <wp:extent cx="5860832" cy="1966442"/>
            <wp:effectExtent l="0" t="0" r="6985" b="0"/>
            <wp:docPr id="2138534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6540" cy="1971712"/>
                    </a:xfrm>
                    <a:prstGeom prst="rect">
                      <a:avLst/>
                    </a:prstGeom>
                    <a:noFill/>
                  </pic:spPr>
                </pic:pic>
              </a:graphicData>
            </a:graphic>
          </wp:inline>
        </w:drawing>
      </w:r>
    </w:p>
    <w:p w14:paraId="010EFCEB" w14:textId="3D73C559" w:rsidR="00B26829" w:rsidRDefault="002E4BBE" w:rsidP="00BB61D5">
      <w:r>
        <w:t xml:space="preserve">The figure shows an example of a scenario, where the common format is a simple 3DMM representation with blend shape weights as the animation streams and a more sophisticated proprietary format that uses neural codes as animation streams. </w:t>
      </w:r>
    </w:p>
    <w:p w14:paraId="34C62B9B" w14:textId="7CC7BC14" w:rsidR="002E4BBE" w:rsidRDefault="002E4BBE" w:rsidP="00BB61D5">
      <w:r>
        <w:t xml:space="preserve">The impact of such a conversion needs to be studied </w:t>
      </w:r>
      <w:proofErr w:type="gramStart"/>
      <w:r>
        <w:t>in light of</w:t>
      </w:r>
      <w:proofErr w:type="gramEnd"/>
      <w:r>
        <w:t xml:space="preserve"> the recommended common representation format. </w:t>
      </w:r>
    </w:p>
    <w:p w14:paraId="2C1D20F3" w14:textId="317570BC" w:rsidR="002E4BBE" w:rsidRDefault="002E4BBE" w:rsidP="002E4BBE">
      <w:pPr>
        <w:pStyle w:val="Heading1"/>
        <w:numPr>
          <w:ilvl w:val="0"/>
          <w:numId w:val="3"/>
        </w:numPr>
      </w:pPr>
      <w:r>
        <w:t>Transport and SDP Signaling Example</w:t>
      </w:r>
    </w:p>
    <w:p w14:paraId="75827244" w14:textId="7C929117" w:rsidR="002E4BBE" w:rsidRDefault="002E4BBE" w:rsidP="002E4BBE">
      <w:r>
        <w:t>In the absence of a generic RTP-based transport mechanism and payload format for the carrying the timed animation streams, the usage of data channel or a separate transport channel, e.g. over QUIC remains the best transport option</w:t>
      </w:r>
      <w:r w:rsidR="00BB0424">
        <w:t xml:space="preserve">. A message format for the exchange of animation stream samples </w:t>
      </w:r>
      <w:r w:rsidR="00CE2D64">
        <w:t xml:space="preserve">needs to be defined. </w:t>
      </w:r>
    </w:p>
    <w:p w14:paraId="4476978C" w14:textId="61CBBA5D" w:rsidR="00CE2D64" w:rsidRDefault="00CE2D64" w:rsidP="002E4BBE">
      <w:r>
        <w:lastRenderedPageBreak/>
        <w:t xml:space="preserve">The SDP declaration for the stream includes a description of the </w:t>
      </w:r>
      <w:r w:rsidR="00920CCC">
        <w:t xml:space="preserve">supported Avatar formats in the </w:t>
      </w:r>
      <w:proofErr w:type="spellStart"/>
      <w:r w:rsidR="00920CCC">
        <w:t>dcmap</w:t>
      </w:r>
      <w:proofErr w:type="spellEnd"/>
      <w:r w:rsidR="00920CCC">
        <w:t xml:space="preserve"> or </w:t>
      </w:r>
      <w:proofErr w:type="spellStart"/>
      <w:r w:rsidR="00920CCC">
        <w:t>dcsa</w:t>
      </w:r>
      <w:proofErr w:type="spellEnd"/>
      <w:r w:rsidR="00920CCC">
        <w:t xml:space="preserve"> attributes. The attribute will contain the URN</w:t>
      </w:r>
      <w:r w:rsidR="00117982">
        <w:t xml:space="preserve"> which uniquely identifies the used schema. A receiver that doesn’t support the offered representation, will remove it from the offer and only leave the identifier for the common Avatar representation format.</w:t>
      </w:r>
    </w:p>
    <w:p w14:paraId="06614494" w14:textId="680C6DE5" w:rsidR="00117982" w:rsidRDefault="00117982" w:rsidP="002E4BBE">
      <w:r>
        <w:t xml:space="preserve">The following is an example of the SDP </w:t>
      </w:r>
      <w:r w:rsidR="00D91D71">
        <w:t>signalling</w:t>
      </w:r>
      <w:r>
        <w:t xml:space="preserve"> that indicates both a proprietary Avatar representation and the common representation format.</w:t>
      </w:r>
    </w:p>
    <w:p w14:paraId="7566EFEF" w14:textId="77777777" w:rsidR="00EE1CB9" w:rsidRPr="00567618"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090F8768" w14:textId="77777777" w:rsidR="00EE1CB9" w:rsidRPr="00567618"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3CA63B1" w14:textId="77777777" w:rsidR="00EE1CB9" w:rsidRPr="00F22F96"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2F96">
        <w:rPr>
          <w:rFonts w:ascii="Courier New" w:hAnsi="Courier New"/>
          <w:noProof/>
          <w:sz w:val="16"/>
          <w:lang w:eastAsia="ko-KR"/>
        </w:rPr>
        <w:t>a</w:t>
      </w:r>
      <w:r w:rsidRPr="00F22F96">
        <w:rPr>
          <w:rFonts w:ascii="Courier New" w:hAnsi="Courier New"/>
          <w:noProof/>
          <w:sz w:val="16"/>
        </w:rPr>
        <w:t xml:space="preserve">=candidate:1 1 UDP 2130706431 fe80::6676:baff:fe9c:ee4a </w:t>
      </w:r>
      <w:r>
        <w:rPr>
          <w:rFonts w:ascii="Courier New" w:hAnsi="Courier New"/>
          <w:noProof/>
          <w:sz w:val="16"/>
        </w:rPr>
        <w:t>52718</w:t>
      </w:r>
      <w:r w:rsidRPr="00F22F96">
        <w:rPr>
          <w:rFonts w:ascii="Courier New" w:hAnsi="Courier New"/>
          <w:noProof/>
          <w:sz w:val="16"/>
        </w:rPr>
        <w:t xml:space="preserve"> typ host</w:t>
      </w:r>
    </w:p>
    <w:p w14:paraId="765F5F01" w14:textId="77777777" w:rsidR="00EE1CB9" w:rsidRPr="005045AF"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a=ice-ufrag:</w:t>
      </w:r>
      <w:r w:rsidRPr="00DF45A9">
        <w:rPr>
          <w:rFonts w:ascii="Courier New" w:hAnsi="Courier New"/>
          <w:noProof/>
          <w:sz w:val="16"/>
        </w:rPr>
        <w:t>8hhY</w:t>
      </w:r>
    </w:p>
    <w:p w14:paraId="43CCA42C" w14:textId="77777777" w:rsidR="00EE1CB9" w:rsidRPr="00567618"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a=ice-pwd:</w:t>
      </w:r>
      <w:r w:rsidRPr="008E5901">
        <w:rPr>
          <w:rFonts w:ascii="Courier New" w:hAnsi="Courier New"/>
          <w:noProof/>
          <w:sz w:val="16"/>
        </w:rPr>
        <w:t>asd88fgpdd777uzjYhagZg</w:t>
      </w:r>
      <w:r>
        <w:rPr>
          <w:rFonts w:ascii="Courier New" w:hAnsi="Courier New"/>
          <w:noProof/>
          <w:sz w:val="16"/>
        </w:rPr>
        <w:br/>
      </w:r>
      <w:r w:rsidRPr="00567618">
        <w:rPr>
          <w:rFonts w:ascii="Courier New" w:hAnsi="Courier New"/>
          <w:noProof/>
          <w:sz w:val="16"/>
        </w:rPr>
        <w:t>a=max-message-size:1024</w:t>
      </w:r>
    </w:p>
    <w:p w14:paraId="1CC2FABD" w14:textId="77777777" w:rsidR="00EE1CB9" w:rsidRPr="00567618"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a=sctp-port:5000</w:t>
      </w:r>
    </w:p>
    <w:p w14:paraId="7F19D476" w14:textId="77777777" w:rsidR="00EE1CB9" w:rsidRPr="00567618"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a=setup:actpass</w:t>
      </w:r>
    </w:p>
    <w:p w14:paraId="1CF8AEBA" w14:textId="77777777" w:rsidR="00EE1CB9" w:rsidRPr="00567618"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4A:AD:B9:B1:3F:82:18:3B:54:02:12:DF:3E:5D:49:6B:19:E5:7C:AB</w:t>
      </w:r>
    </w:p>
    <w:p w14:paraId="0A72605C" w14:textId="0B53D2CA" w:rsidR="00117982" w:rsidRPr="00EE1CB9"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EE1CB9">
        <w:rPr>
          <w:rFonts w:ascii="Courier New" w:hAnsi="Courier New"/>
          <w:noProof/>
          <w:sz w:val="16"/>
        </w:rPr>
        <w:t xml:space="preserve"> </w:t>
      </w:r>
      <w:r w:rsidRPr="00567618">
        <w:rPr>
          <w:rFonts w:ascii="Courier New" w:hAnsi="Courier New"/>
          <w:noProof/>
          <w:sz w:val="16"/>
        </w:rPr>
        <w:t>abc3de65cddef001be82</w:t>
      </w:r>
    </w:p>
    <w:p w14:paraId="0B839506" w14:textId="006FF180" w:rsidR="00117982" w:rsidRPr="00EE1CB9" w:rsidRDefault="00117982"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117982">
        <w:rPr>
          <w:rFonts w:ascii="Courier New" w:hAnsi="Courier New"/>
          <w:b/>
          <w:bCs/>
          <w:noProof/>
          <w:sz w:val="16"/>
        </w:rPr>
        <w:t>a=dcmap:1</w:t>
      </w:r>
      <w:r w:rsidR="00EE1CB9" w:rsidRPr="00EE1CB9">
        <w:rPr>
          <w:rFonts w:ascii="Courier New" w:hAnsi="Courier New"/>
          <w:b/>
          <w:bCs/>
          <w:noProof/>
          <w:sz w:val="16"/>
        </w:rPr>
        <w:t>000</w:t>
      </w:r>
      <w:r w:rsidRPr="00117982">
        <w:rPr>
          <w:rFonts w:ascii="Courier New" w:hAnsi="Courier New"/>
          <w:b/>
          <w:bCs/>
          <w:noProof/>
          <w:sz w:val="16"/>
        </w:rPr>
        <w:t xml:space="preserve"> subprotocol="</w:t>
      </w:r>
      <w:r w:rsidR="00EE1CB9" w:rsidRPr="00EE1CB9">
        <w:rPr>
          <w:rFonts w:ascii="Courier New" w:hAnsi="Courier New"/>
          <w:b/>
          <w:bCs/>
          <w:noProof/>
          <w:sz w:val="16"/>
        </w:rPr>
        <w:t>avatar-representation</w:t>
      </w:r>
      <w:r w:rsidRPr="00117982">
        <w:rPr>
          <w:rFonts w:ascii="Courier New" w:hAnsi="Courier New"/>
          <w:b/>
          <w:bCs/>
          <w:noProof/>
          <w:sz w:val="16"/>
        </w:rPr>
        <w:t>"</w:t>
      </w:r>
    </w:p>
    <w:p w14:paraId="54F86BA6" w14:textId="29F45155" w:rsidR="00EE1CB9" w:rsidRPr="00EE1CB9"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EE1CB9">
        <w:rPr>
          <w:rFonts w:ascii="Courier New" w:hAnsi="Courier New"/>
          <w:b/>
          <w:bCs/>
          <w:noProof/>
          <w:sz w:val="16"/>
        </w:rPr>
        <w:t>a=dcsa:1000 format=</w:t>
      </w:r>
      <w:r w:rsidRPr="00117982">
        <w:rPr>
          <w:rFonts w:ascii="Courier New" w:hAnsi="Courier New"/>
          <w:b/>
          <w:bCs/>
          <w:noProof/>
          <w:sz w:val="16"/>
        </w:rPr>
        <w:t>"</w:t>
      </w:r>
      <w:r w:rsidRPr="00EE1CB9">
        <w:rPr>
          <w:rFonts w:ascii="Courier New" w:hAnsi="Courier New"/>
          <w:b/>
          <w:bCs/>
          <w:noProof/>
          <w:sz w:val="16"/>
        </w:rPr>
        <w:t>urn:3gpp:avatar:base-format</w:t>
      </w:r>
      <w:r w:rsidRPr="00117982">
        <w:rPr>
          <w:rFonts w:ascii="Courier New" w:hAnsi="Courier New"/>
          <w:b/>
          <w:bCs/>
          <w:noProof/>
          <w:sz w:val="16"/>
        </w:rPr>
        <w:t>"</w:t>
      </w:r>
    </w:p>
    <w:p w14:paraId="7AFE8893" w14:textId="2426CFB7" w:rsidR="00EE1CB9" w:rsidRPr="00117982" w:rsidRDefault="00EE1CB9"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noProof/>
          <w:sz w:val="16"/>
        </w:rPr>
      </w:pPr>
      <w:r w:rsidRPr="00EE1CB9">
        <w:rPr>
          <w:rFonts w:ascii="Courier New" w:hAnsi="Courier New"/>
          <w:b/>
          <w:bCs/>
          <w:noProof/>
          <w:sz w:val="16"/>
        </w:rPr>
        <w:t>a=dcsa:100</w:t>
      </w:r>
      <w:r w:rsidRPr="00EE1CB9">
        <w:rPr>
          <w:rFonts w:ascii="Courier New" w:hAnsi="Courier New"/>
          <w:b/>
          <w:bCs/>
          <w:noProof/>
          <w:sz w:val="16"/>
        </w:rPr>
        <w:t>1</w:t>
      </w:r>
      <w:r w:rsidRPr="00EE1CB9">
        <w:rPr>
          <w:rFonts w:ascii="Courier New" w:hAnsi="Courier New"/>
          <w:b/>
          <w:bCs/>
          <w:noProof/>
          <w:sz w:val="16"/>
        </w:rPr>
        <w:t xml:space="preserve"> format=</w:t>
      </w:r>
      <w:r w:rsidRPr="00117982">
        <w:rPr>
          <w:rFonts w:ascii="Courier New" w:hAnsi="Courier New"/>
          <w:b/>
          <w:bCs/>
          <w:noProof/>
          <w:sz w:val="16"/>
        </w:rPr>
        <w:t>"</w:t>
      </w:r>
      <w:r w:rsidRPr="00EE1CB9">
        <w:rPr>
          <w:rFonts w:ascii="Courier New" w:hAnsi="Courier New"/>
          <w:b/>
          <w:bCs/>
          <w:noProof/>
          <w:sz w:val="16"/>
        </w:rPr>
        <w:t>urn:</w:t>
      </w:r>
      <w:r w:rsidRPr="00EE1CB9">
        <w:rPr>
          <w:rFonts w:ascii="Courier New" w:hAnsi="Courier New"/>
          <w:b/>
          <w:bCs/>
          <w:noProof/>
          <w:sz w:val="16"/>
        </w:rPr>
        <w:t>qualcomm</w:t>
      </w:r>
      <w:r w:rsidRPr="00EE1CB9">
        <w:rPr>
          <w:rFonts w:ascii="Courier New" w:hAnsi="Courier New"/>
          <w:b/>
          <w:bCs/>
          <w:noProof/>
          <w:sz w:val="16"/>
        </w:rPr>
        <w:t>:avatar:</w:t>
      </w:r>
      <w:r w:rsidRPr="00EE1CB9">
        <w:rPr>
          <w:rFonts w:ascii="Courier New" w:hAnsi="Courier New"/>
          <w:b/>
          <w:bCs/>
          <w:noProof/>
          <w:sz w:val="16"/>
        </w:rPr>
        <w:t>avatar</w:t>
      </w:r>
      <w:r w:rsidRPr="00EE1CB9">
        <w:rPr>
          <w:rFonts w:ascii="Courier New" w:hAnsi="Courier New"/>
          <w:b/>
          <w:bCs/>
          <w:noProof/>
          <w:sz w:val="16"/>
        </w:rPr>
        <w:t>-format</w:t>
      </w:r>
      <w:r w:rsidRPr="00117982">
        <w:rPr>
          <w:rFonts w:ascii="Courier New" w:hAnsi="Courier New"/>
          <w:b/>
          <w:bCs/>
          <w:noProof/>
          <w:sz w:val="16"/>
        </w:rPr>
        <w:t>"</w:t>
      </w:r>
    </w:p>
    <w:p w14:paraId="37AC48B1" w14:textId="77777777" w:rsidR="00117982" w:rsidRPr="00EE1CB9" w:rsidRDefault="00117982" w:rsidP="00EE1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FE5E7" w14:textId="779255CF" w:rsidR="00090904" w:rsidRDefault="00090904" w:rsidP="00090904">
      <w:pPr>
        <w:pStyle w:val="Heading1"/>
        <w:numPr>
          <w:ilvl w:val="0"/>
          <w:numId w:val="3"/>
        </w:numPr>
      </w:pPr>
      <w:r>
        <w:t>Proposal</w:t>
      </w:r>
    </w:p>
    <w:p w14:paraId="43F2D1A6" w14:textId="75F694B6" w:rsidR="00090904" w:rsidRDefault="00090904" w:rsidP="007F6DA5">
      <w:pPr>
        <w:rPr>
          <w:lang w:val="en-US"/>
        </w:rPr>
      </w:pPr>
      <w:r>
        <w:rPr>
          <w:lang w:val="en-US"/>
        </w:rPr>
        <w:t>We propose</w:t>
      </w:r>
      <w:bookmarkEnd w:id="0"/>
      <w:r w:rsidR="00B03ACC">
        <w:rPr>
          <w:lang w:val="en-US"/>
        </w:rPr>
        <w:t xml:space="preserve"> to ad</w:t>
      </w:r>
      <w:r w:rsidR="00EE1CB9">
        <w:rPr>
          <w:lang w:val="en-US"/>
        </w:rPr>
        <w:t>d the content of sections 2 and 3 to TR26.813</w:t>
      </w:r>
      <w:r w:rsidR="00B03ACC">
        <w:rPr>
          <w:lang w:val="en-US"/>
        </w:rPr>
        <w:t>.</w:t>
      </w:r>
    </w:p>
    <w:sectPr w:rsidR="00090904" w:rsidSect="00142FE3">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C2915" w14:textId="77777777" w:rsidR="00142FE3" w:rsidRDefault="00142FE3">
      <w:r>
        <w:separator/>
      </w:r>
    </w:p>
  </w:endnote>
  <w:endnote w:type="continuationSeparator" w:id="0">
    <w:p w14:paraId="419DAFCF" w14:textId="77777777" w:rsidR="00142FE3" w:rsidRDefault="0014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1E180" w14:textId="77777777" w:rsidR="00142FE3" w:rsidRDefault="00142FE3">
      <w:r>
        <w:separator/>
      </w:r>
    </w:p>
  </w:footnote>
  <w:footnote w:type="continuationSeparator" w:id="0">
    <w:p w14:paraId="46F1F0FD" w14:textId="77777777" w:rsidR="00142FE3" w:rsidRDefault="00142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1A594318"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402997">
      <w:rPr>
        <w:rFonts w:ascii="Arial" w:eastAsia="SimSun" w:hAnsi="Arial" w:cs="Arial"/>
        <w:sz w:val="22"/>
        <w:lang w:val="en-US"/>
      </w:rPr>
      <w:t>7</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402997">
      <w:rPr>
        <w:rFonts w:ascii="Arial" w:eastAsia="SimSun" w:hAnsi="Arial" w:cs="Arial"/>
        <w:b/>
        <w:i/>
        <w:sz w:val="28"/>
        <w:szCs w:val="28"/>
        <w:lang w:val="en-US"/>
      </w:rPr>
      <w:t>40070</w:t>
    </w:r>
  </w:p>
  <w:p w14:paraId="3B56539F" w14:textId="109BE885" w:rsidR="008075BF" w:rsidRPr="00DA292D" w:rsidRDefault="0040299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val="en-US" w:eastAsia="zh-CN"/>
      </w:rPr>
      <w:t>29</w:t>
    </w:r>
    <w:proofErr w:type="spellStart"/>
    <w:r w:rsidR="0033324B" w:rsidRPr="0033324B">
      <w:rPr>
        <w:rFonts w:ascii="Arial" w:eastAsia="SimSun" w:hAnsi="Arial" w:cs="Arial"/>
        <w:sz w:val="22"/>
        <w:vertAlign w:val="superscript"/>
        <w:lang w:eastAsia="zh-CN"/>
      </w:rPr>
      <w:t>th</w:t>
    </w:r>
    <w:proofErr w:type="spellEnd"/>
    <w:r w:rsidR="0033324B">
      <w:rPr>
        <w:rFonts w:ascii="Arial" w:eastAsia="SimSun" w:hAnsi="Arial" w:cs="Arial"/>
        <w:sz w:val="22"/>
        <w:lang w:eastAsia="zh-CN"/>
      </w:rPr>
      <w:t xml:space="preserve"> </w:t>
    </w:r>
    <w:r>
      <w:rPr>
        <w:rFonts w:ascii="Arial" w:eastAsia="SimSun" w:hAnsi="Arial" w:cs="Arial"/>
        <w:sz w:val="22"/>
        <w:lang w:eastAsia="zh-CN"/>
      </w:rPr>
      <w:t xml:space="preserve">January </w:t>
    </w:r>
    <w:r w:rsidR="0033324B">
      <w:rPr>
        <w:rFonts w:ascii="Arial" w:eastAsia="SimSun" w:hAnsi="Arial" w:cs="Arial"/>
        <w:sz w:val="22"/>
        <w:lang w:eastAsia="zh-CN"/>
      </w:rPr>
      <w:t xml:space="preserve">– </w:t>
    </w:r>
    <w:r>
      <w:rPr>
        <w:rFonts w:ascii="Arial" w:eastAsia="SimSun" w:hAnsi="Arial" w:cs="Arial"/>
        <w:sz w:val="22"/>
        <w:lang w:eastAsia="zh-CN"/>
      </w:rPr>
      <w:t>2</w:t>
    </w:r>
    <w:r>
      <w:rPr>
        <w:rFonts w:ascii="Arial" w:eastAsia="SimSun" w:hAnsi="Arial" w:cs="Arial"/>
        <w:sz w:val="22"/>
        <w:vertAlign w:val="superscript"/>
        <w:lang w:eastAsia="zh-CN"/>
      </w:rPr>
      <w:t>nd</w:t>
    </w:r>
    <w:r w:rsidR="0033324B">
      <w:rPr>
        <w:rFonts w:ascii="Arial" w:eastAsia="SimSun" w:hAnsi="Arial" w:cs="Arial"/>
        <w:sz w:val="22"/>
        <w:lang w:eastAsia="zh-CN"/>
      </w:rPr>
      <w:t xml:space="preserve"> </w:t>
    </w:r>
    <w:r>
      <w:rPr>
        <w:rFonts w:ascii="Arial" w:eastAsia="SimSun" w:hAnsi="Arial" w:cs="Arial"/>
        <w:sz w:val="22"/>
        <w:lang w:eastAsia="zh-CN"/>
      </w:rPr>
      <w:t>February</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Pr>
        <w:rFonts w:ascii="Arial" w:eastAsia="SimSun" w:hAnsi="Arial" w:cs="Arial"/>
        <w:sz w:val="22"/>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 w:numId="27" w16cid:durableId="211543820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982"/>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2FE3"/>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3E5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BBE"/>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A1C"/>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3FE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379"/>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0CCC"/>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829"/>
    <w:rsid w:val="00B26B89"/>
    <w:rsid w:val="00B303E3"/>
    <w:rsid w:val="00B30DAD"/>
    <w:rsid w:val="00B317B6"/>
    <w:rsid w:val="00B32853"/>
    <w:rsid w:val="00B33189"/>
    <w:rsid w:val="00B33AF4"/>
    <w:rsid w:val="00B33EC4"/>
    <w:rsid w:val="00B347C4"/>
    <w:rsid w:val="00B34C87"/>
    <w:rsid w:val="00B36BDA"/>
    <w:rsid w:val="00B36D82"/>
    <w:rsid w:val="00B40430"/>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0424"/>
    <w:rsid w:val="00BB1C72"/>
    <w:rsid w:val="00BB2EE0"/>
    <w:rsid w:val="00BB32EB"/>
    <w:rsid w:val="00BB37F3"/>
    <w:rsid w:val="00BB3AA4"/>
    <w:rsid w:val="00BB3ACF"/>
    <w:rsid w:val="00BB41E7"/>
    <w:rsid w:val="00BB4646"/>
    <w:rsid w:val="00BB473A"/>
    <w:rsid w:val="00BB4E4B"/>
    <w:rsid w:val="00BB61D5"/>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2D64"/>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1D71"/>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CB9"/>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27D"/>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25208289">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2024-01-23T00:14:00Z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