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7CA941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w:t>
      </w:r>
      <w:r w:rsidR="0033324B">
        <w:rPr>
          <w:rFonts w:ascii="Arial" w:hAnsi="Arial" w:cs="Arial"/>
          <w:szCs w:val="24"/>
          <w:lang w:val="en-US" w:eastAsia="ja-JP"/>
        </w:rPr>
        <w:t>0</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3BFB5CCB"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r w:rsidR="0033324B">
        <w:rPr>
          <w:rFonts w:ascii="Arial" w:hAnsi="Arial" w:cs="Arial"/>
          <w:b/>
          <w:szCs w:val="24"/>
          <w:lang w:val="en-US" w:eastAsia="ja-JP"/>
        </w:rPr>
        <w:t xml:space="preserve">Updated </w:t>
      </w:r>
      <w:r w:rsidR="00BE6034">
        <w:rPr>
          <w:rFonts w:ascii="Arial" w:hAnsi="Arial" w:cs="Arial"/>
          <w:b/>
          <w:szCs w:val="24"/>
          <w:lang w:val="en-US" w:eastAsia="ja-JP"/>
        </w:rPr>
        <w:t>Avatar Reference Architecture</w:t>
      </w:r>
      <w:r w:rsidR="00B20D7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1E4254A5" w:rsidR="00B20D7B" w:rsidRPr="00AB234E" w:rsidRDefault="0083671E" w:rsidP="00AB234E">
      <w:pPr>
        <w:rPr>
          <w:lang w:val="en-US"/>
        </w:rPr>
      </w:pPr>
      <w:r>
        <w:rPr>
          <w:lang w:val="en-US"/>
        </w:rPr>
        <w:t xml:space="preserve">In this contribution, we propose </w:t>
      </w:r>
      <w:r w:rsidR="0033324B">
        <w:rPr>
          <w:lang w:val="en-US"/>
        </w:rPr>
        <w:t>further update to the</w:t>
      </w:r>
      <w:r>
        <w:rPr>
          <w:lang w:val="en-US"/>
        </w:rPr>
        <w:t xml:space="preserve"> reference architecture for the deployment of Avatars in immersive communication services and the Metaverse</w:t>
      </w:r>
      <w:r w:rsidR="00B20D7B">
        <w:rPr>
          <w:lang w:val="en-US"/>
        </w:rPr>
        <w:t>.</w:t>
      </w:r>
    </w:p>
    <w:p w14:paraId="3551B604" w14:textId="7DC448E1" w:rsidR="00F108B7" w:rsidRDefault="0083671E" w:rsidP="00F108B7">
      <w:pPr>
        <w:pStyle w:val="Heading1"/>
        <w:numPr>
          <w:ilvl w:val="0"/>
          <w:numId w:val="3"/>
        </w:numPr>
      </w:pPr>
      <w:r>
        <w:t>Reference Architecture</w:t>
      </w:r>
    </w:p>
    <w:p w14:paraId="5A517196" w14:textId="0CEB0AEF" w:rsidR="0033324B" w:rsidRDefault="0033324B" w:rsidP="0083671E">
      <w:pPr>
        <w:rPr>
          <w:lang w:val="en-US"/>
        </w:rPr>
      </w:pPr>
      <w:r>
        <w:rPr>
          <w:lang w:val="en-US"/>
        </w:rPr>
        <w:t xml:space="preserve">The reference architecture for animated Avatars </w:t>
      </w:r>
      <w:r w:rsidR="00F914E7">
        <w:rPr>
          <w:lang w:val="en-US"/>
        </w:rPr>
        <w:t xml:space="preserve">identifies the key network functions and the interfaces between these functions. </w:t>
      </w:r>
    </w:p>
    <w:p w14:paraId="6963D1E5" w14:textId="2BE35A27" w:rsidR="00F914E7" w:rsidRDefault="00F914E7" w:rsidP="0083671E">
      <w:pPr>
        <w:rPr>
          <w:lang w:val="en-US"/>
        </w:rPr>
      </w:pPr>
      <w:r>
        <w:rPr>
          <w:lang w:val="en-US"/>
        </w:rPr>
        <w:t>The following diagram depicts the reference architecture:</w:t>
      </w:r>
    </w:p>
    <w:p w14:paraId="32C058A4" w14:textId="11FCC255" w:rsidR="00F914E7" w:rsidRDefault="008C66DE" w:rsidP="0083671E">
      <w:pPr>
        <w:rPr>
          <w:lang w:val="en-US"/>
        </w:rPr>
      </w:pPr>
      <w:r>
        <w:rPr>
          <w:noProof/>
          <w:lang w:val="en-US"/>
        </w:rPr>
        <w:drawing>
          <wp:inline distT="0" distB="0" distL="0" distR="0" wp14:anchorId="1216BB7A" wp14:editId="4FCADF94">
            <wp:extent cx="5859472" cy="2745105"/>
            <wp:effectExtent l="0" t="0" r="8255" b="0"/>
            <wp:docPr id="1975810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1326" cy="2750658"/>
                    </a:xfrm>
                    <a:prstGeom prst="rect">
                      <a:avLst/>
                    </a:prstGeom>
                    <a:noFill/>
                  </pic:spPr>
                </pic:pic>
              </a:graphicData>
            </a:graphic>
          </wp:inline>
        </w:drawing>
      </w:r>
    </w:p>
    <w:p w14:paraId="523EFD41" w14:textId="77777777" w:rsidR="008C66DE" w:rsidRDefault="008C66DE" w:rsidP="008C66D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Avatar Reference Architecture</w:t>
      </w:r>
    </w:p>
    <w:p w14:paraId="68516B3A" w14:textId="7B921178" w:rsidR="00F914E7" w:rsidRDefault="00F914E7" w:rsidP="0083671E">
      <w:pPr>
        <w:rPr>
          <w:lang w:val="en-US"/>
        </w:rPr>
      </w:pPr>
      <w:r>
        <w:rPr>
          <w:lang w:val="en-US"/>
        </w:rPr>
        <w:t>Some of the functions may be implemented on the sending UE or on the receiving UE(s).</w:t>
      </w:r>
    </w:p>
    <w:p w14:paraId="40C99A7F" w14:textId="713565DA" w:rsidR="0083671E" w:rsidRDefault="008C66DE" w:rsidP="0083671E">
      <w:pPr>
        <w:rPr>
          <w:lang w:val="en-US"/>
        </w:rPr>
      </w:pPr>
      <w:r>
        <w:rPr>
          <w:lang w:val="en-US"/>
        </w:rPr>
        <w:t xml:space="preserve">This framework assumes the presence of a base Avatar that is stored by the Avatar Storage function, which is associated with the source Avatar. The components and control over the base avatar </w:t>
      </w:r>
      <w:proofErr w:type="gramStart"/>
      <w:r>
        <w:rPr>
          <w:lang w:val="en-US"/>
        </w:rPr>
        <w:t>is</w:t>
      </w:r>
      <w:proofErr w:type="gramEnd"/>
      <w:r>
        <w:rPr>
          <w:lang w:val="en-US"/>
        </w:rPr>
        <w:t xml:space="preserve"> offered through the AV3 interface. </w:t>
      </w:r>
    </w:p>
    <w:p w14:paraId="5C0102FE" w14:textId="4EE1FFC4" w:rsidR="008C66DE" w:rsidRDefault="008C66DE" w:rsidP="0083671E">
      <w:pPr>
        <w:rPr>
          <w:lang w:val="en-US"/>
        </w:rPr>
      </w:pPr>
      <w:r>
        <w:rPr>
          <w:lang w:val="en-US"/>
        </w:rPr>
        <w:t xml:space="preserve">The Avatar Animation accesses the base avatar of the users in a session over the AV4 interface. It also receives </w:t>
      </w:r>
      <w:proofErr w:type="gramStart"/>
      <w:r>
        <w:rPr>
          <w:lang w:val="en-US"/>
        </w:rPr>
        <w:t>the animation</w:t>
      </w:r>
      <w:proofErr w:type="gramEnd"/>
      <w:r>
        <w:rPr>
          <w:lang w:val="en-US"/>
        </w:rPr>
        <w:t xml:space="preserve"> streams from the Avatar source via the AV2 interface. </w:t>
      </w:r>
    </w:p>
    <w:p w14:paraId="7AA8E576" w14:textId="4EB0EDF4" w:rsidR="00D22055" w:rsidRDefault="00D22055" w:rsidP="0083671E">
      <w:pPr>
        <w:rPr>
          <w:lang w:val="en-US"/>
        </w:rPr>
      </w:pPr>
      <w:r>
        <w:rPr>
          <w:lang w:val="en-US"/>
        </w:rPr>
        <w:t xml:space="preserve">The AR scene and control of the real-time immersive experience is </w:t>
      </w:r>
      <w:proofErr w:type="gramStart"/>
      <w:r>
        <w:rPr>
          <w:lang w:val="en-US"/>
        </w:rPr>
        <w:t>control</w:t>
      </w:r>
      <w:proofErr w:type="gramEnd"/>
      <w:r>
        <w:rPr>
          <w:lang w:val="en-US"/>
        </w:rPr>
        <w:t xml:space="preserve"> by the Scene Composition, which receives information about the user’s Avatars via the AV1 interface. </w:t>
      </w:r>
    </w:p>
    <w:p w14:paraId="6EF0D219" w14:textId="77777777" w:rsidR="008C66DE" w:rsidRDefault="008C66DE" w:rsidP="0083671E">
      <w:pPr>
        <w:rPr>
          <w:lang w:val="en-US"/>
        </w:rPr>
      </w:pPr>
    </w:p>
    <w:p w14:paraId="5A7F138F" w14:textId="5588068D" w:rsidR="000E7A4C" w:rsidRPr="0083671E" w:rsidRDefault="000E7A4C" w:rsidP="0083671E">
      <w:pPr>
        <w:rPr>
          <w:lang w:val="en-US"/>
        </w:rPr>
      </w:pPr>
    </w:p>
    <w:p w14:paraId="53EAA96C" w14:textId="0D501955" w:rsidR="007740CD" w:rsidRDefault="007740CD" w:rsidP="007740CD">
      <w:r>
        <w:t>The reference architecture defines the following functional elements:</w:t>
      </w:r>
    </w:p>
    <w:p w14:paraId="05AB114E" w14:textId="3278AD0B" w:rsidR="007740CD" w:rsidRDefault="007740CD" w:rsidP="007740CD">
      <w:pPr>
        <w:pStyle w:val="ListParagraph"/>
        <w:numPr>
          <w:ilvl w:val="0"/>
          <w:numId w:val="26"/>
        </w:numPr>
      </w:pPr>
      <w:r w:rsidRPr="00D22055">
        <w:rPr>
          <w:b/>
          <w:bCs/>
        </w:rPr>
        <w:t>Avatar Storage</w:t>
      </w:r>
      <w:r>
        <w:t xml:space="preserve">: an entity that offers storage of base Avatars. This entity may be offered by the 5G </w:t>
      </w:r>
      <w:proofErr w:type="gramStart"/>
      <w:r>
        <w:t>System</w:t>
      </w:r>
      <w:proofErr w:type="gramEnd"/>
      <w:r>
        <w:t xml:space="preserve"> or it may be considered as a 3</w:t>
      </w:r>
      <w:r w:rsidRPr="007740CD">
        <w:rPr>
          <w:vertAlign w:val="superscript"/>
        </w:rPr>
        <w:t>rd</w:t>
      </w:r>
      <w:r>
        <w:t xml:space="preserve"> party entity. </w:t>
      </w:r>
    </w:p>
    <w:p w14:paraId="235E05D5" w14:textId="5CDE6698" w:rsidR="007740CD" w:rsidRDefault="007740CD" w:rsidP="007740CD">
      <w:pPr>
        <w:pStyle w:val="ListParagraph"/>
        <w:numPr>
          <w:ilvl w:val="0"/>
          <w:numId w:val="26"/>
        </w:numPr>
      </w:pPr>
      <w:r w:rsidRPr="00D22055">
        <w:rPr>
          <w:b/>
          <w:bCs/>
        </w:rPr>
        <w:t>Avatar Animation</w:t>
      </w:r>
      <w:r>
        <w:t xml:space="preserve">: depending on the Avatar representation format, this entity retrieves the base Avatar, receives representation format-specific animation streams, and performs the Avatar animation to produce the dynamic mesh that will be used in the rendering process. </w:t>
      </w:r>
      <w:proofErr w:type="gramStart"/>
      <w:r>
        <w:t>Note,</w:t>
      </w:r>
      <w:proofErr w:type="gramEnd"/>
      <w:r>
        <w:t xml:space="preserve"> that some animation approaches may directly produce a rendered 2D view of the Avatar. </w:t>
      </w:r>
    </w:p>
    <w:p w14:paraId="16585789" w14:textId="4FC579FA" w:rsidR="007740CD" w:rsidRPr="007740CD" w:rsidRDefault="007740CD" w:rsidP="007740CD">
      <w:pPr>
        <w:pStyle w:val="ListParagraph"/>
        <w:numPr>
          <w:ilvl w:val="0"/>
          <w:numId w:val="26"/>
        </w:numPr>
      </w:pPr>
      <w:r w:rsidRPr="00D22055">
        <w:rPr>
          <w:b/>
          <w:bCs/>
        </w:rPr>
        <w:t>Scene Composition</w:t>
      </w:r>
      <w:r>
        <w:t xml:space="preserve">: </w:t>
      </w:r>
      <w:r w:rsidR="00B03ACC">
        <w:t xml:space="preserve">creates and composes the shared 3D scene for all participants. It integrates a description of the user’s Avatar and </w:t>
      </w:r>
      <w:r w:rsidR="001E5681">
        <w:t>updates</w:t>
      </w:r>
      <w:r w:rsidR="00B03ACC">
        <w:t xml:space="preserve"> its position and orientation based on the user’s pose. The updated scene is shared with all participants.</w:t>
      </w:r>
    </w:p>
    <w:p w14:paraId="613FE5E7" w14:textId="779255CF" w:rsidR="00090904" w:rsidRDefault="00090904" w:rsidP="00090904">
      <w:pPr>
        <w:pStyle w:val="Heading1"/>
        <w:numPr>
          <w:ilvl w:val="0"/>
          <w:numId w:val="3"/>
        </w:numPr>
      </w:pPr>
      <w:r>
        <w:t>Proposal</w:t>
      </w:r>
    </w:p>
    <w:p w14:paraId="43F2D1A6" w14:textId="2AA73351" w:rsidR="00090904" w:rsidRDefault="00090904" w:rsidP="007F6DA5">
      <w:pPr>
        <w:rPr>
          <w:lang w:val="en-US"/>
        </w:rPr>
      </w:pPr>
      <w:r>
        <w:rPr>
          <w:lang w:val="en-US"/>
        </w:rPr>
        <w:t>We propose</w:t>
      </w:r>
      <w:bookmarkEnd w:id="0"/>
      <w:r w:rsidR="00B03ACC">
        <w:rPr>
          <w:lang w:val="en-US"/>
        </w:rPr>
        <w:t xml:space="preserve"> to adopt the reference architecture as the baseline for the Avatar study and to document it in the TR.</w:t>
      </w:r>
    </w:p>
    <w:sectPr w:rsidR="0009090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1E93C5" w14:textId="77777777" w:rsidR="0022033A" w:rsidRDefault="0022033A">
      <w:r>
        <w:separator/>
      </w:r>
    </w:p>
  </w:endnote>
  <w:endnote w:type="continuationSeparator" w:id="0">
    <w:p w14:paraId="48D7EAC6" w14:textId="77777777" w:rsidR="0022033A" w:rsidRDefault="00220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D448F" w14:textId="77777777" w:rsidR="0022033A" w:rsidRDefault="0022033A">
      <w:r>
        <w:separator/>
      </w:r>
    </w:p>
  </w:footnote>
  <w:footnote w:type="continuationSeparator" w:id="0">
    <w:p w14:paraId="30355F3E" w14:textId="77777777" w:rsidR="0022033A" w:rsidRDefault="00220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33E7D981"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33324B">
      <w:rPr>
        <w:rFonts w:ascii="Arial" w:eastAsia="SimSun" w:hAnsi="Arial" w:cs="Arial"/>
        <w:sz w:val="22"/>
        <w:lang w:val="en-US"/>
      </w:rPr>
      <w:t>6</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BE6034">
      <w:rPr>
        <w:rFonts w:ascii="Arial" w:eastAsia="SimSun" w:hAnsi="Arial" w:cs="Arial"/>
        <w:b/>
        <w:i/>
        <w:sz w:val="28"/>
        <w:szCs w:val="28"/>
        <w:lang w:val="en-US"/>
      </w:rPr>
      <w:t>1</w:t>
    </w:r>
    <w:r w:rsidR="0033324B">
      <w:rPr>
        <w:rFonts w:ascii="Arial" w:eastAsia="SimSun" w:hAnsi="Arial" w:cs="Arial"/>
        <w:b/>
        <w:i/>
        <w:sz w:val="28"/>
        <w:szCs w:val="28"/>
        <w:lang w:val="en-US"/>
      </w:rPr>
      <w:t>837</w:t>
    </w:r>
  </w:p>
  <w:p w14:paraId="3B56539F" w14:textId="3E408DEE" w:rsidR="008075BF" w:rsidRPr="00DA292D" w:rsidRDefault="0033324B"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13</w:t>
    </w:r>
    <w:r w:rsidRPr="0033324B">
      <w:rPr>
        <w:rFonts w:ascii="Arial" w:eastAsia="SimSun" w:hAnsi="Arial" w:cs="Arial"/>
        <w:sz w:val="22"/>
        <w:vertAlign w:val="superscript"/>
        <w:lang w:eastAsia="zh-CN"/>
      </w:rPr>
      <w:t>th</w:t>
    </w:r>
    <w:r>
      <w:rPr>
        <w:rFonts w:ascii="Arial" w:eastAsia="SimSun" w:hAnsi="Arial" w:cs="Arial"/>
        <w:sz w:val="22"/>
        <w:lang w:eastAsia="zh-CN"/>
      </w:rPr>
      <w:t xml:space="preserve"> – 17</w:t>
    </w:r>
    <w:r w:rsidRPr="0033324B">
      <w:rPr>
        <w:rFonts w:ascii="Arial" w:eastAsia="SimSun" w:hAnsi="Arial" w:cs="Arial"/>
        <w:sz w:val="22"/>
        <w:vertAlign w:val="superscript"/>
        <w:lang w:eastAsia="zh-CN"/>
      </w:rPr>
      <w:t>th</w:t>
    </w:r>
    <w:r>
      <w:rPr>
        <w:rFonts w:ascii="Arial" w:eastAsia="SimSun" w:hAnsi="Arial" w:cs="Arial"/>
        <w:sz w:val="22"/>
        <w:lang w:eastAsia="zh-CN"/>
      </w:rPr>
      <w:t xml:space="preserve"> November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4"/>
  </w:num>
  <w:num w:numId="2" w16cid:durableId="281032281">
    <w:abstractNumId w:val="10"/>
  </w:num>
  <w:num w:numId="3" w16cid:durableId="175177887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7"/>
  </w:num>
  <w:num w:numId="5" w16cid:durableId="1446458188">
    <w:abstractNumId w:val="2"/>
  </w:num>
  <w:num w:numId="6" w16cid:durableId="735123984">
    <w:abstractNumId w:val="4"/>
  </w:num>
  <w:num w:numId="7" w16cid:durableId="788552162">
    <w:abstractNumId w:val="6"/>
  </w:num>
  <w:num w:numId="8" w16cid:durableId="283195772">
    <w:abstractNumId w:val="0"/>
  </w:num>
  <w:num w:numId="9" w16cid:durableId="1031805320">
    <w:abstractNumId w:val="1"/>
  </w:num>
  <w:num w:numId="10" w16cid:durableId="169148494">
    <w:abstractNumId w:val="14"/>
  </w:num>
  <w:num w:numId="11" w16cid:durableId="1525971380">
    <w:abstractNumId w:val="12"/>
  </w:num>
  <w:num w:numId="12" w16cid:durableId="1511218414">
    <w:abstractNumId w:val="13"/>
  </w:num>
  <w:num w:numId="13" w16cid:durableId="815728443">
    <w:abstractNumId w:val="14"/>
  </w:num>
  <w:num w:numId="14" w16cid:durableId="910039807">
    <w:abstractNumId w:val="15"/>
  </w:num>
  <w:num w:numId="15" w16cid:durableId="1975134722">
    <w:abstractNumId w:val="11"/>
  </w:num>
  <w:num w:numId="16" w16cid:durableId="1712026302">
    <w:abstractNumId w:val="8"/>
  </w:num>
  <w:num w:numId="17" w16cid:durableId="2046057848">
    <w:abstractNumId w:val="14"/>
  </w:num>
  <w:num w:numId="18" w16cid:durableId="989986992">
    <w:abstractNumId w:val="14"/>
  </w:num>
  <w:num w:numId="19" w16cid:durableId="1419518851">
    <w:abstractNumId w:val="3"/>
  </w:num>
  <w:num w:numId="20" w16cid:durableId="69009680">
    <w:abstractNumId w:val="14"/>
  </w:num>
  <w:num w:numId="21" w16cid:durableId="1903441439">
    <w:abstractNumId w:val="14"/>
  </w:num>
  <w:num w:numId="22" w16cid:durableId="168373479">
    <w:abstractNumId w:val="14"/>
  </w:num>
  <w:num w:numId="23" w16cid:durableId="1493834802">
    <w:abstractNumId w:val="14"/>
  </w:num>
  <w:num w:numId="24" w16cid:durableId="1755974918">
    <w:abstractNumId w:val="14"/>
  </w:num>
  <w:num w:numId="25" w16cid:durableId="829950102">
    <w:abstractNumId w:val="5"/>
  </w:num>
  <w:num w:numId="26" w16cid:durableId="406459072">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332</Words>
  <Characters>1897</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2023-11-07T22:41:00Z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