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132A58F"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BE308A">
        <w:rPr>
          <w:rFonts w:ascii="Arial" w:hAnsi="Arial"/>
          <w:b/>
          <w:noProof/>
          <w:sz w:val="24"/>
          <w:szCs w:val="24"/>
          <w:lang w:eastAsia="ja-JP"/>
        </w:rPr>
        <w:t>1</w:t>
      </w:r>
      <w:r w:rsidR="003D2D26">
        <w:rPr>
          <w:rFonts w:ascii="Arial" w:hAnsi="Arial"/>
          <w:b/>
          <w:noProof/>
          <w:sz w:val="24"/>
          <w:szCs w:val="24"/>
          <w:lang w:eastAsia="ja-JP"/>
        </w:rPr>
        <w:t>0</w:t>
      </w:r>
      <w:r w:rsidR="00BE308A">
        <w:rPr>
          <w:rFonts w:ascii="Arial" w:hAnsi="Arial"/>
          <w:b/>
          <w:noProof/>
          <w:sz w:val="24"/>
          <w:szCs w:val="24"/>
          <w:lang w:eastAsia="ja-JP"/>
        </w:rPr>
        <w:t>7</w:t>
      </w:r>
      <w:r w:rsidR="007C7C63">
        <w:rPr>
          <w:rFonts w:ascii="Arial" w:hAnsi="Arial"/>
          <w:b/>
          <w:noProof/>
          <w:sz w:val="24"/>
          <w:szCs w:val="24"/>
          <w:lang w:eastAsia="ja-JP"/>
        </w:rPr>
        <w:t>9</w:t>
      </w:r>
    </w:p>
    <w:p w14:paraId="11C88A41" w14:textId="5EE2765A"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w:t>
      </w:r>
      <w:r w:rsidR="006D4213">
        <w:rPr>
          <w:rFonts w:ascii="Arial" w:eastAsia="Batang" w:hAnsi="Arial" w:cs="Arial"/>
          <w:b/>
          <w:noProof/>
          <w:lang w:eastAsia="zh-CN"/>
        </w:rPr>
        <w:t>107</w:t>
      </w:r>
      <w:r w:rsidR="007C7C63">
        <w:rPr>
          <w:rFonts w:ascii="Arial" w:eastAsia="Batang" w:hAnsi="Arial" w:cs="Arial"/>
          <w:b/>
          <w:noProof/>
          <w:lang w:eastAsia="zh-CN"/>
        </w:rPr>
        <w:t>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337E13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r w:rsidR="00296C8B">
        <w:rPr>
          <w:rFonts w:ascii="Arial" w:eastAsia="Batang" w:hAnsi="Arial"/>
          <w:b/>
          <w:sz w:val="24"/>
          <w:szCs w:val="24"/>
          <w:lang w:val="en-US" w:eastAsia="zh-CN"/>
        </w:rPr>
        <w:t xml:space="preserve">, ZTE, VODAFONE Group Plc, </w:t>
      </w:r>
      <w:r w:rsidR="0058731E">
        <w:rPr>
          <w:rFonts w:ascii="Arial" w:eastAsia="Batang" w:hAnsi="Arial"/>
          <w:b/>
          <w:sz w:val="24"/>
          <w:szCs w:val="24"/>
          <w:lang w:val="en-US" w:eastAsia="zh-CN"/>
        </w:rPr>
        <w:t>Lenovo Future Communications</w:t>
      </w:r>
      <w:r w:rsidR="00B119A6">
        <w:rPr>
          <w:rFonts w:ascii="Arial" w:eastAsia="Batang" w:hAnsi="Arial"/>
          <w:b/>
          <w:sz w:val="24"/>
          <w:szCs w:val="24"/>
          <w:lang w:val="en-US" w:eastAsia="zh-CN"/>
        </w:rPr>
        <w:t xml:space="preserve">, </w:t>
      </w:r>
      <w:hyperlink r:id="rId8" w:tgtFrame="_blank" w:history="1">
        <w:r w:rsidR="00B119A6" w:rsidRPr="00925909">
          <w:rPr>
            <w:rFonts w:ascii="Arial" w:eastAsia="Batang" w:hAnsi="Arial"/>
            <w:b/>
            <w:sz w:val="24"/>
            <w:szCs w:val="24"/>
            <w:lang w:val="en-US" w:eastAsia="zh-CN"/>
          </w:rPr>
          <w:t>Beijing Xiaomi Mobile Software</w:t>
        </w:r>
      </w:hyperlink>
      <w:r w:rsidR="00123F16">
        <w:rPr>
          <w:rFonts w:ascii="Arial" w:eastAsia="Batang" w:hAnsi="Arial"/>
          <w:b/>
          <w:sz w:val="24"/>
          <w:szCs w:val="24"/>
          <w:lang w:val="en-US" w:eastAsia="zh-CN"/>
        </w:rPr>
        <w:t xml:space="preserve">, </w:t>
      </w:r>
      <w:proofErr w:type="spellStart"/>
      <w:r w:rsidR="00123F16">
        <w:rPr>
          <w:rFonts w:ascii="Arial" w:eastAsia="Batang" w:hAnsi="Arial"/>
          <w:b/>
          <w:sz w:val="24"/>
          <w:szCs w:val="24"/>
          <w:lang w:val="en-US" w:eastAsia="zh-CN"/>
        </w:rPr>
        <w:t>InterDigital</w:t>
      </w:r>
      <w:proofErr w:type="spellEnd"/>
      <w:r w:rsidR="00123F16">
        <w:rPr>
          <w:rFonts w:ascii="Arial" w:eastAsia="Batang" w:hAnsi="Arial"/>
          <w:b/>
          <w:sz w:val="24"/>
          <w:szCs w:val="24"/>
          <w:lang w:val="en-US" w:eastAsia="zh-CN"/>
        </w:rPr>
        <w:t xml:space="preserve"> Communications, Huawei Technologies</w:t>
      </w:r>
      <w:r w:rsidR="00DE1727">
        <w:rPr>
          <w:rFonts w:ascii="Arial" w:eastAsia="Batang" w:hAnsi="Arial"/>
          <w:b/>
          <w:sz w:val="24"/>
          <w:szCs w:val="24"/>
          <w:lang w:val="en-US" w:eastAsia="zh-CN"/>
        </w:rPr>
        <w:t>, China Mobile</w:t>
      </w:r>
      <w:r w:rsidR="00655557">
        <w:rPr>
          <w:rFonts w:ascii="Arial" w:eastAsia="Batang" w:hAnsi="Arial"/>
          <w:b/>
          <w:sz w:val="24"/>
          <w:szCs w:val="24"/>
          <w:lang w:val="en-US" w:eastAsia="zh-CN"/>
        </w:rPr>
        <w:t xml:space="preserve"> Com. </w:t>
      </w:r>
      <w:r w:rsidR="002B0443">
        <w:rPr>
          <w:rFonts w:ascii="Arial" w:eastAsia="Batang" w:hAnsi="Arial"/>
          <w:b/>
          <w:sz w:val="24"/>
          <w:szCs w:val="24"/>
          <w:lang w:val="en-US" w:eastAsia="zh-CN"/>
        </w:rPr>
        <w:t>Corporation</w:t>
      </w:r>
      <w:r w:rsidR="00655557">
        <w:rPr>
          <w:rFonts w:ascii="Arial" w:eastAsia="Batang" w:hAnsi="Arial"/>
          <w:b/>
          <w:sz w:val="24"/>
          <w:szCs w:val="24"/>
          <w:lang w:val="en-US" w:eastAsia="zh-CN"/>
        </w:rPr>
        <w:t>, Tencent</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793A97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44590">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r w:rsidR="004568D0">
        <w:rPr>
          <w:rFonts w:ascii="Arial" w:eastAsia="Times New Roman" w:hAnsi="Arial" w:cs="Times New Roman"/>
          <w:color w:val="auto"/>
          <w:sz w:val="36"/>
          <w:szCs w:val="20"/>
          <w:lang w:eastAsia="ja-JP"/>
        </w:rPr>
        <w:t xml:space="preserve">Study of </w:t>
      </w:r>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2332F45" w:rsidR="001E489F" w:rsidRDefault="003243D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0A8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B2B46A" w:rsidR="001E489F" w:rsidRPr="00AB4073" w:rsidRDefault="006D4213" w:rsidP="00AB4073">
            <w:pPr>
              <w:pStyle w:val="Guidance"/>
              <w:rPr>
                <w:i w:val="0"/>
                <w:iCs/>
              </w:rPr>
            </w:pPr>
            <w:proofErr w:type="spellStart"/>
            <w:r w:rsidRPr="00AB4073">
              <w:rPr>
                <w:i w:val="0"/>
                <w:iCs/>
              </w:rPr>
              <w:t>iRTCW</w:t>
            </w:r>
            <w:proofErr w:type="spellEnd"/>
          </w:p>
        </w:tc>
        <w:tc>
          <w:tcPr>
            <w:tcW w:w="1101" w:type="dxa"/>
          </w:tcPr>
          <w:p w14:paraId="334D300A" w14:textId="4BC45D75" w:rsidR="001E489F"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338BA6A" w14:textId="5A8437AD" w:rsidR="001E489F" w:rsidRPr="00AB4073" w:rsidRDefault="006D4213" w:rsidP="00AB4073">
            <w:pPr>
              <w:pStyle w:val="Guidance"/>
              <w:rPr>
                <w:i w:val="0"/>
                <w:iCs/>
              </w:rPr>
            </w:pPr>
            <w:r w:rsidRPr="00AB4073">
              <w:rPr>
                <w:i w:val="0"/>
                <w:iCs/>
              </w:rPr>
              <w:t>950014</w:t>
            </w:r>
          </w:p>
        </w:tc>
        <w:tc>
          <w:tcPr>
            <w:tcW w:w="6010" w:type="dxa"/>
          </w:tcPr>
          <w:p w14:paraId="225432A0" w14:textId="2E809F3C" w:rsidR="001E489F" w:rsidRPr="00AB4073" w:rsidRDefault="006D4213" w:rsidP="00AB4073">
            <w:pPr>
              <w:pStyle w:val="Guidance"/>
              <w:rPr>
                <w:i w:val="0"/>
                <w:iCs/>
              </w:rPr>
            </w:pPr>
            <w:r w:rsidRPr="00AB4073">
              <w:rPr>
                <w:i w:val="0"/>
                <w:iCs/>
              </w:rPr>
              <w:t>Immersive Real-time Communication for WebRTC</w:t>
            </w:r>
          </w:p>
        </w:tc>
      </w:tr>
      <w:tr w:rsidR="006D4213" w14:paraId="694494B6" w14:textId="77777777" w:rsidTr="005875D6">
        <w:trPr>
          <w:cantSplit/>
          <w:jc w:val="center"/>
        </w:trPr>
        <w:tc>
          <w:tcPr>
            <w:tcW w:w="1101" w:type="dxa"/>
          </w:tcPr>
          <w:p w14:paraId="585A0F26" w14:textId="54F0712E" w:rsidR="006D4213" w:rsidRPr="00AB4073" w:rsidRDefault="006D4213" w:rsidP="00AB4073">
            <w:pPr>
              <w:pStyle w:val="Guidance"/>
              <w:rPr>
                <w:i w:val="0"/>
                <w:iCs/>
              </w:rPr>
            </w:pPr>
            <w:r w:rsidRPr="00AB4073">
              <w:rPr>
                <w:i w:val="0"/>
                <w:iCs/>
              </w:rPr>
              <w:t>IBACS</w:t>
            </w:r>
          </w:p>
        </w:tc>
        <w:tc>
          <w:tcPr>
            <w:tcW w:w="1101" w:type="dxa"/>
          </w:tcPr>
          <w:p w14:paraId="1203FBA6" w14:textId="474233BC" w:rsidR="006D4213"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DD9D6C9" w14:textId="3CA650A4" w:rsidR="006D4213" w:rsidRPr="00AB4073" w:rsidRDefault="006D4213" w:rsidP="00AB4073">
            <w:pPr>
              <w:pStyle w:val="Guidance"/>
              <w:rPr>
                <w:i w:val="0"/>
                <w:iCs/>
              </w:rPr>
            </w:pPr>
            <w:r w:rsidRPr="00AB4073">
              <w:rPr>
                <w:i w:val="0"/>
                <w:iCs/>
              </w:rPr>
              <w:t>960042</w:t>
            </w:r>
          </w:p>
        </w:tc>
        <w:tc>
          <w:tcPr>
            <w:tcW w:w="6010" w:type="dxa"/>
          </w:tcPr>
          <w:p w14:paraId="6911C1CC" w14:textId="57865A36" w:rsidR="006D4213" w:rsidRPr="00AB4073" w:rsidRDefault="006D4213" w:rsidP="00AB4073">
            <w:pPr>
              <w:pStyle w:val="Guidance"/>
              <w:rPr>
                <w:i w:val="0"/>
                <w:iCs/>
              </w:rPr>
            </w:pPr>
            <w:r w:rsidRPr="00AB4073">
              <w:rPr>
                <w:i w:val="0"/>
                <w:iCs/>
              </w:rPr>
              <w:t>IMS-based AR Conversational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sidRPr="006D4213">
              <w:t>Media Capabilities for Augmented Reality</w:t>
            </w:r>
          </w:p>
        </w:tc>
        <w:tc>
          <w:tcPr>
            <w:tcW w:w="5099" w:type="dxa"/>
          </w:tcPr>
          <w:p w14:paraId="017BF4B1" w14:textId="4F37476A" w:rsidR="001E489F" w:rsidRPr="006D4213" w:rsidRDefault="006D4213" w:rsidP="005875D6">
            <w:pPr>
              <w:pStyle w:val="Guidance"/>
              <w:rPr>
                <w:i w:val="0"/>
                <w:iCs/>
              </w:rPr>
            </w:pPr>
            <w:r>
              <w:rPr>
                <w:i w:val="0"/>
                <w:iCs/>
              </w:rPr>
              <w:t>May reference formats and codecs that are relevant to Avatars.</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Pr="006D4213" w:rsidRDefault="00996315" w:rsidP="005875D6">
            <w:pPr>
              <w:pStyle w:val="TAL"/>
            </w:pPr>
            <w:r w:rsidRPr="006D4213">
              <w:t>Generic architecture for RT and AR/MR</w:t>
            </w:r>
          </w:p>
        </w:tc>
        <w:tc>
          <w:tcPr>
            <w:tcW w:w="5099" w:type="dxa"/>
          </w:tcPr>
          <w:p w14:paraId="76200C85" w14:textId="40BCD1BF" w:rsidR="0015718F" w:rsidRPr="006D4213" w:rsidRDefault="006D4213" w:rsidP="005875D6">
            <w:pPr>
              <w:pStyle w:val="Guidance"/>
              <w:rPr>
                <w:i w:val="0"/>
                <w:iCs/>
              </w:rPr>
            </w:pPr>
            <w:r>
              <w:rPr>
                <w:i w:val="0"/>
                <w:iCs/>
              </w:rPr>
              <w:t>May reference architecture and procedures for the usage of Avatars in RTC.</w:t>
            </w: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Pr="006D4213" w:rsidRDefault="008B1047" w:rsidP="005875D6">
            <w:pPr>
              <w:pStyle w:val="TAL"/>
            </w:pPr>
            <w:r w:rsidRPr="006D4213">
              <w:t>Immersive Real-time Communication for WebRTC</w:t>
            </w:r>
          </w:p>
        </w:tc>
        <w:tc>
          <w:tcPr>
            <w:tcW w:w="5099" w:type="dxa"/>
          </w:tcPr>
          <w:p w14:paraId="460C900C" w14:textId="2CF9BAB7" w:rsidR="0015718F" w:rsidRPr="006D4213" w:rsidRDefault="006D4213" w:rsidP="005875D6">
            <w:pPr>
              <w:pStyle w:val="Guidance"/>
              <w:rPr>
                <w:i w:val="0"/>
                <w:iCs/>
              </w:rPr>
            </w:pPr>
            <w:r>
              <w:rPr>
                <w:i w:val="0"/>
                <w:iCs/>
              </w:rPr>
              <w:t>May reference transport protocols and payload formats for the distribution of Avatars.</w:t>
            </w: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6D4213">
            <w:pPr>
              <w:pStyle w:val="TAL"/>
              <w:rPr>
                <w:rFonts w:ascii="Segoe UI" w:hAnsi="Segoe UI" w:cs="Segoe UI"/>
                <w:b/>
                <w:bCs/>
                <w:color w:val="0000FF"/>
                <w:szCs w:val="18"/>
                <w:shd w:val="clear" w:color="auto" w:fill="FFFFFF"/>
              </w:rPr>
            </w:pPr>
            <w:r w:rsidRPr="006D4213">
              <w:t>IMS-based AR Conversational Services</w:t>
            </w:r>
          </w:p>
        </w:tc>
        <w:tc>
          <w:tcPr>
            <w:tcW w:w="5099" w:type="dxa"/>
          </w:tcPr>
          <w:p w14:paraId="4A6EBE6C" w14:textId="580CDA95" w:rsidR="008B1047" w:rsidRPr="006D4213" w:rsidRDefault="006D4213" w:rsidP="005875D6">
            <w:pPr>
              <w:pStyle w:val="Guidance"/>
              <w:rPr>
                <w:i w:val="0"/>
                <w:iCs/>
              </w:rPr>
            </w:pPr>
            <w:r>
              <w:rPr>
                <w:i w:val="0"/>
                <w:iCs/>
              </w:rPr>
              <w:t>May reference IMS procedures for AR calls.</w:t>
            </w:r>
          </w:p>
        </w:tc>
      </w:tr>
      <w:tr w:rsidR="003243DE" w14:paraId="51A8E35E" w14:textId="77777777" w:rsidTr="005875D6">
        <w:trPr>
          <w:cantSplit/>
          <w:jc w:val="center"/>
        </w:trPr>
        <w:tc>
          <w:tcPr>
            <w:tcW w:w="1101" w:type="dxa"/>
          </w:tcPr>
          <w:p w14:paraId="10776060" w14:textId="4F7A24CF" w:rsidR="003243DE" w:rsidRPr="003243DE" w:rsidRDefault="003243DE" w:rsidP="005875D6">
            <w:pPr>
              <w:pStyle w:val="TAL"/>
            </w:pPr>
            <w:r w:rsidRPr="003243DE">
              <w:t>950005</w:t>
            </w:r>
          </w:p>
        </w:tc>
        <w:tc>
          <w:tcPr>
            <w:tcW w:w="3326" w:type="dxa"/>
          </w:tcPr>
          <w:p w14:paraId="4EB8FD52" w14:textId="3657E329" w:rsidR="003243DE" w:rsidRPr="006D4213" w:rsidRDefault="003243DE" w:rsidP="006D4213">
            <w:pPr>
              <w:pStyle w:val="TAL"/>
            </w:pPr>
            <w:r w:rsidRPr="003243DE">
              <w:t>Study on Localized Mobile Metaverse Services</w:t>
            </w:r>
          </w:p>
        </w:tc>
        <w:tc>
          <w:tcPr>
            <w:tcW w:w="5099" w:type="dxa"/>
          </w:tcPr>
          <w:p w14:paraId="29DB0057" w14:textId="7DC72403" w:rsidR="003243DE" w:rsidRPr="003243DE" w:rsidRDefault="003243DE" w:rsidP="005875D6">
            <w:pPr>
              <w:pStyle w:val="Guidance"/>
              <w:rPr>
                <w:rFonts w:ascii="Arial" w:hAnsi="Arial"/>
                <w:i w:val="0"/>
                <w:sz w:val="18"/>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43A1EF64" w:rsidR="001E489F" w:rsidRDefault="00B81CE7" w:rsidP="001E489F">
      <w:r>
        <w:t>The study item has the following objectives:</w:t>
      </w:r>
    </w:p>
    <w:p w14:paraId="712E1CF2" w14:textId="5EE53914" w:rsidR="00A10EF7" w:rsidRPr="00DE1727" w:rsidRDefault="00A10EF7" w:rsidP="00A10EF7">
      <w:pPr>
        <w:pStyle w:val="ListParagraph"/>
        <w:numPr>
          <w:ilvl w:val="0"/>
          <w:numId w:val="9"/>
        </w:numPr>
        <w:rPr>
          <w:sz w:val="20"/>
          <w:szCs w:val="20"/>
        </w:rPr>
      </w:pPr>
      <w:r w:rsidRPr="00DE1727">
        <w:rPr>
          <w:sz w:val="20"/>
          <w:szCs w:val="20"/>
        </w:rPr>
        <w:t>Identify and extract the Avatar-related use cases and requirements as defined in TR22.856.</w:t>
      </w:r>
    </w:p>
    <w:p w14:paraId="101B3652" w14:textId="15A4DFE5" w:rsidR="00B81CE7" w:rsidRPr="00DE1727" w:rsidRDefault="00B81CE7" w:rsidP="00B81CE7">
      <w:pPr>
        <w:pStyle w:val="ListParagraph"/>
        <w:numPr>
          <w:ilvl w:val="0"/>
          <w:numId w:val="9"/>
        </w:numPr>
        <w:rPr>
          <w:sz w:val="20"/>
          <w:szCs w:val="20"/>
        </w:rPr>
      </w:pPr>
      <w:r w:rsidRPr="00DE1727">
        <w:rPr>
          <w:sz w:val="20"/>
          <w:szCs w:val="20"/>
        </w:rPr>
        <w:t>Document the use cases for Avatars</w:t>
      </w:r>
      <w:r w:rsidR="005E062B" w:rsidRPr="00DE1727">
        <w:rPr>
          <w:sz w:val="20"/>
          <w:szCs w:val="20"/>
        </w:rPr>
        <w:t xml:space="preserve"> and classify avatar representations</w:t>
      </w:r>
      <w:r w:rsidR="00297DB8" w:rsidRPr="00DE1727">
        <w:rPr>
          <w:sz w:val="20"/>
          <w:szCs w:val="20"/>
        </w:rPr>
        <w:t>,</w:t>
      </w:r>
    </w:p>
    <w:p w14:paraId="7B85A9AF" w14:textId="263CCE5C" w:rsidR="002655BB" w:rsidRPr="00DE1727" w:rsidRDefault="002655BB" w:rsidP="00B81CE7">
      <w:pPr>
        <w:pStyle w:val="ListParagraph"/>
        <w:numPr>
          <w:ilvl w:val="0"/>
          <w:numId w:val="9"/>
        </w:numPr>
        <w:rPr>
          <w:sz w:val="20"/>
          <w:szCs w:val="20"/>
        </w:rPr>
      </w:pPr>
      <w:r w:rsidRPr="00DE1727">
        <w:rPr>
          <w:sz w:val="20"/>
          <w:szCs w:val="20"/>
        </w:rPr>
        <w:t xml:space="preserve">Collect and </w:t>
      </w:r>
      <w:r w:rsidR="003F0896" w:rsidRPr="00DE1727">
        <w:rPr>
          <w:sz w:val="20"/>
          <w:szCs w:val="20"/>
        </w:rPr>
        <w:t xml:space="preserve">document </w:t>
      </w:r>
      <w:r w:rsidRPr="00DE1727">
        <w:rPr>
          <w:sz w:val="20"/>
          <w:szCs w:val="20"/>
        </w:rPr>
        <w:t>Avatar animation and representation approaches:</w:t>
      </w:r>
    </w:p>
    <w:p w14:paraId="1CB5B6A1" w14:textId="43B5D4B9" w:rsidR="002655BB" w:rsidRPr="00DE1727" w:rsidRDefault="002655BB" w:rsidP="002655BB">
      <w:pPr>
        <w:pStyle w:val="ListParagraph"/>
        <w:numPr>
          <w:ilvl w:val="0"/>
          <w:numId w:val="9"/>
        </w:numPr>
        <w:rPr>
          <w:sz w:val="20"/>
          <w:szCs w:val="20"/>
        </w:rPr>
      </w:pPr>
      <w:r w:rsidRPr="00DE1727">
        <w:rPr>
          <w:sz w:val="20"/>
          <w:szCs w:val="20"/>
        </w:rPr>
        <w:t>Document the requirements for an interoperable base Avatar format:</w:t>
      </w:r>
    </w:p>
    <w:p w14:paraId="6DBA2233" w14:textId="65F07216" w:rsidR="002655BB" w:rsidRPr="00DE1727" w:rsidRDefault="002655BB" w:rsidP="003F0896">
      <w:pPr>
        <w:pStyle w:val="ListParagraph"/>
        <w:numPr>
          <w:ilvl w:val="1"/>
          <w:numId w:val="9"/>
        </w:numPr>
        <w:rPr>
          <w:sz w:val="20"/>
          <w:szCs w:val="20"/>
        </w:rPr>
      </w:pPr>
      <w:r w:rsidRPr="00DE1727">
        <w:rPr>
          <w:sz w:val="20"/>
          <w:szCs w:val="20"/>
        </w:rPr>
        <w:t>Prioritize deployed representations.</w:t>
      </w:r>
    </w:p>
    <w:p w14:paraId="18BEE196" w14:textId="0236B50D" w:rsidR="002655BB" w:rsidRPr="00DE1727" w:rsidRDefault="002655BB" w:rsidP="002655BB">
      <w:pPr>
        <w:pStyle w:val="ListParagraph"/>
        <w:numPr>
          <w:ilvl w:val="0"/>
          <w:numId w:val="9"/>
        </w:numPr>
        <w:rPr>
          <w:sz w:val="20"/>
          <w:szCs w:val="20"/>
        </w:rPr>
      </w:pPr>
      <w:r w:rsidRPr="00DE1727">
        <w:rPr>
          <w:sz w:val="20"/>
          <w:szCs w:val="20"/>
        </w:rPr>
        <w:t>Document formats for the animation data,</w:t>
      </w:r>
    </w:p>
    <w:p w14:paraId="4F0BE080" w14:textId="3EB79954" w:rsidR="00592F98" w:rsidRPr="00DE1727" w:rsidRDefault="00592F98" w:rsidP="002655BB">
      <w:pPr>
        <w:pStyle w:val="ListParagraph"/>
        <w:numPr>
          <w:ilvl w:val="0"/>
          <w:numId w:val="9"/>
        </w:numPr>
        <w:rPr>
          <w:sz w:val="20"/>
          <w:szCs w:val="20"/>
        </w:rPr>
      </w:pPr>
      <w:r w:rsidRPr="00DE1727">
        <w:rPr>
          <w:sz w:val="20"/>
          <w:szCs w:val="20"/>
        </w:rPr>
        <w:t xml:space="preserve">Study the integration </w:t>
      </w:r>
      <w:r w:rsidR="003F0896" w:rsidRPr="00DE1727">
        <w:rPr>
          <w:sz w:val="20"/>
          <w:szCs w:val="20"/>
        </w:rPr>
        <w:t xml:space="preserve">of Avatars </w:t>
      </w:r>
      <w:r w:rsidRPr="00DE1727">
        <w:rPr>
          <w:sz w:val="20"/>
          <w:szCs w:val="20"/>
        </w:rPr>
        <w:t xml:space="preserve">into the </w:t>
      </w:r>
      <w:r w:rsidR="00541007" w:rsidRPr="00DE1727">
        <w:rPr>
          <w:sz w:val="20"/>
          <w:szCs w:val="20"/>
        </w:rPr>
        <w:t>RTC services</w:t>
      </w:r>
      <w:r w:rsidR="003F0896" w:rsidRPr="00DE1727">
        <w:rPr>
          <w:sz w:val="20"/>
          <w:szCs w:val="20"/>
        </w:rPr>
        <w:t xml:space="preserve"> (including WebRTC and IMS)</w:t>
      </w:r>
      <w:r w:rsidR="002655BB" w:rsidRPr="00DE1727">
        <w:rPr>
          <w:sz w:val="20"/>
          <w:szCs w:val="20"/>
        </w:rPr>
        <w:t>,</w:t>
      </w:r>
    </w:p>
    <w:p w14:paraId="50FB138A" w14:textId="2D0CCBE3" w:rsidR="0058731E" w:rsidRPr="00DE1727" w:rsidRDefault="0058731E" w:rsidP="002655BB">
      <w:pPr>
        <w:pStyle w:val="ListParagraph"/>
        <w:numPr>
          <w:ilvl w:val="0"/>
          <w:numId w:val="9"/>
        </w:numPr>
        <w:rPr>
          <w:sz w:val="20"/>
          <w:szCs w:val="20"/>
        </w:rPr>
      </w:pPr>
      <w:r w:rsidRPr="00DE1727">
        <w:rPr>
          <w:sz w:val="20"/>
          <w:szCs w:val="20"/>
        </w:rPr>
        <w:t>Study the cross-operation with split rendering</w:t>
      </w:r>
      <w:r w:rsidR="00F92F59" w:rsidRPr="00DE1727">
        <w:rPr>
          <w:sz w:val="20"/>
          <w:szCs w:val="20"/>
        </w:rPr>
        <w:t>,</w:t>
      </w:r>
    </w:p>
    <w:p w14:paraId="60771EF7" w14:textId="6F76C419" w:rsidR="00541007" w:rsidRPr="00DE1727" w:rsidRDefault="0054704A" w:rsidP="002655BB">
      <w:pPr>
        <w:pStyle w:val="ListParagraph"/>
        <w:numPr>
          <w:ilvl w:val="0"/>
          <w:numId w:val="9"/>
        </w:numPr>
        <w:rPr>
          <w:sz w:val="20"/>
          <w:szCs w:val="20"/>
        </w:rPr>
      </w:pPr>
      <w:r w:rsidRPr="00DE1727">
        <w:rPr>
          <w:sz w:val="20"/>
          <w:szCs w:val="20"/>
        </w:rPr>
        <w:t>Investigate the QoS</w:t>
      </w:r>
      <w:r w:rsidR="0058731E" w:rsidRPr="00DE1727">
        <w:rPr>
          <w:sz w:val="20"/>
          <w:szCs w:val="20"/>
        </w:rPr>
        <w:t xml:space="preserve">, </w:t>
      </w:r>
      <w:r w:rsidRPr="00DE1727">
        <w:rPr>
          <w:sz w:val="20"/>
          <w:szCs w:val="20"/>
        </w:rPr>
        <w:t>processing</w:t>
      </w:r>
      <w:r w:rsidR="0058731E" w:rsidRPr="00DE1727">
        <w:rPr>
          <w:sz w:val="20"/>
          <w:szCs w:val="20"/>
        </w:rPr>
        <w:t>, and storage</w:t>
      </w:r>
      <w:r w:rsidRPr="00DE1727">
        <w:rPr>
          <w:sz w:val="20"/>
          <w:szCs w:val="20"/>
        </w:rPr>
        <w:t xml:space="preserve"> requirements</w:t>
      </w:r>
      <w:r w:rsidR="003F0896" w:rsidRPr="00DE1727">
        <w:rPr>
          <w:sz w:val="20"/>
          <w:szCs w:val="20"/>
        </w:rPr>
        <w:t xml:space="preserve"> for Avatars</w:t>
      </w:r>
      <w:r w:rsidR="002655BB" w:rsidRPr="00DE1727">
        <w:rPr>
          <w:sz w:val="20"/>
          <w:szCs w:val="20"/>
        </w:rPr>
        <w:t>,</w:t>
      </w:r>
    </w:p>
    <w:p w14:paraId="4C6ECCB9" w14:textId="5F6A6E7A" w:rsidR="0058731E" w:rsidRPr="00DE1727" w:rsidRDefault="0058731E" w:rsidP="002655BB">
      <w:pPr>
        <w:pStyle w:val="ListParagraph"/>
        <w:numPr>
          <w:ilvl w:val="0"/>
          <w:numId w:val="9"/>
        </w:numPr>
        <w:rPr>
          <w:sz w:val="20"/>
          <w:szCs w:val="20"/>
        </w:rPr>
      </w:pPr>
      <w:r w:rsidRPr="00DE1727">
        <w:rPr>
          <w:sz w:val="20"/>
          <w:szCs w:val="20"/>
        </w:rPr>
        <w:t>In collaboration with SA3, investigate security aspects of Avatars, including authentication, privacy, DRM, …</w:t>
      </w:r>
    </w:p>
    <w:p w14:paraId="17E9DAA2" w14:textId="6EF8B1E5" w:rsidR="006D7B2E" w:rsidRPr="00DE1727" w:rsidRDefault="00BE038E" w:rsidP="002655BB">
      <w:pPr>
        <w:pStyle w:val="ListParagraph"/>
        <w:numPr>
          <w:ilvl w:val="0"/>
          <w:numId w:val="9"/>
        </w:numPr>
        <w:rPr>
          <w:sz w:val="20"/>
          <w:szCs w:val="20"/>
        </w:rPr>
      </w:pPr>
      <w:r w:rsidRPr="00DE1727">
        <w:rPr>
          <w:sz w:val="20"/>
          <w:szCs w:val="20"/>
        </w:rPr>
        <w:t xml:space="preserve">Document the network </w:t>
      </w:r>
      <w:r w:rsidR="005A75A1" w:rsidRPr="00DE1727">
        <w:rPr>
          <w:sz w:val="20"/>
          <w:szCs w:val="20"/>
        </w:rPr>
        <w:t>procedures</w:t>
      </w:r>
      <w:r w:rsidR="0058731E" w:rsidRPr="00DE1727">
        <w:rPr>
          <w:sz w:val="20"/>
          <w:szCs w:val="20"/>
        </w:rPr>
        <w:t xml:space="preserve"> </w:t>
      </w:r>
      <w:r w:rsidR="00906111" w:rsidRPr="00DE1727">
        <w:rPr>
          <w:sz w:val="20"/>
          <w:szCs w:val="20"/>
        </w:rPr>
        <w:t>and the impact on the 5G-RTC architecture</w:t>
      </w:r>
      <w:r w:rsidR="002655BB" w:rsidRPr="00DE1727">
        <w:rPr>
          <w:sz w:val="20"/>
          <w:szCs w:val="20"/>
        </w:rPr>
        <w:t>.</w:t>
      </w:r>
    </w:p>
    <w:p w14:paraId="5FEA1A35" w14:textId="7F58327F" w:rsidR="003F0896" w:rsidRPr="00DE1727" w:rsidRDefault="003F0896" w:rsidP="002655BB">
      <w:pPr>
        <w:pStyle w:val="ListParagraph"/>
        <w:numPr>
          <w:ilvl w:val="0"/>
          <w:numId w:val="9"/>
        </w:numPr>
        <w:rPr>
          <w:sz w:val="20"/>
          <w:szCs w:val="20"/>
        </w:rPr>
      </w:pPr>
      <w:r w:rsidRPr="00DE1727">
        <w:rPr>
          <w:sz w:val="20"/>
          <w:szCs w:val="20"/>
        </w:rPr>
        <w:t>Discuss with relevant 3GPP groups on architecture and security aspects</w:t>
      </w:r>
      <w:r w:rsidR="00F92F59" w:rsidRPr="00DE1727">
        <w:rPr>
          <w:sz w:val="20"/>
          <w:szCs w:val="20"/>
        </w:rPr>
        <w:t>.</w:t>
      </w:r>
    </w:p>
    <w:p w14:paraId="1F2ECC52" w14:textId="77777777" w:rsidR="00A10EF7" w:rsidRDefault="00A10EF7" w:rsidP="00A10EF7">
      <w:pPr>
        <w:pStyle w:val="ListParagraph"/>
        <w:ind w:left="720"/>
      </w:pPr>
    </w:p>
    <w:p w14:paraId="00002683" w14:textId="517269A7" w:rsidR="00123F16" w:rsidRDefault="00036E69" w:rsidP="00036E69">
      <w:r>
        <w:t>NOTE: this study will not impact the integration of volumetric video formats such as V3C.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4B040A47" w14:textId="77777777" w:rsidR="001E489F" w:rsidRDefault="00ED3C9B" w:rsidP="005875D6">
            <w:pPr>
              <w:pStyle w:val="Guidance"/>
              <w:spacing w:after="0"/>
            </w:pPr>
            <w:r>
              <w:t>SA#10</w:t>
            </w:r>
            <w:r w:rsidR="005D5967">
              <w:t>2</w:t>
            </w:r>
          </w:p>
          <w:p w14:paraId="060C3F75" w14:textId="1095B3DB" w:rsidR="003243DE" w:rsidRPr="006C2E80" w:rsidRDefault="003243DE" w:rsidP="005875D6">
            <w:pPr>
              <w:pStyle w:val="Guidance"/>
              <w:spacing w:after="0"/>
            </w:pPr>
            <w:r>
              <w:t>(December 2023)</w:t>
            </w:r>
          </w:p>
        </w:tc>
        <w:tc>
          <w:tcPr>
            <w:tcW w:w="1074" w:type="dxa"/>
          </w:tcPr>
          <w:p w14:paraId="3CC87817" w14:textId="4926F250" w:rsidR="001E489F" w:rsidRPr="006C2E80" w:rsidRDefault="00ED3C9B" w:rsidP="005875D6">
            <w:pPr>
              <w:pStyle w:val="Guidance"/>
              <w:spacing w:after="0"/>
            </w:pPr>
            <w:r>
              <w:t>SA#10</w:t>
            </w:r>
            <w:r w:rsidR="005D5967">
              <w:t>3</w:t>
            </w:r>
            <w:r w:rsidR="003243DE">
              <w:t xml:space="preserve"> (March 2023)</w:t>
            </w:r>
          </w:p>
        </w:tc>
        <w:tc>
          <w:tcPr>
            <w:tcW w:w="2186" w:type="dxa"/>
          </w:tcPr>
          <w:p w14:paraId="71B3D7AE" w14:textId="089A2CAC" w:rsidR="001E489F" w:rsidRPr="005D5967" w:rsidRDefault="00F22274" w:rsidP="005875D6">
            <w:pPr>
              <w:pStyle w:val="Guidance"/>
              <w:spacing w:after="0"/>
              <w:rPr>
                <w:i w:val="0"/>
                <w:iCs/>
              </w:rPr>
            </w:pPr>
            <w:r>
              <w:rPr>
                <w:i w:val="0"/>
                <w:iCs/>
              </w:rPr>
              <w:t>Imed Bouazizi</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r>
        <w:t>SA2 may need to be involved for architectural aspects.</w:t>
      </w:r>
    </w:p>
    <w:p w14:paraId="798971FA" w14:textId="55CD9746" w:rsidR="001E489F" w:rsidRPr="00557B2E" w:rsidRDefault="00F92F59" w:rsidP="001E489F">
      <w:r>
        <w:t>SA3 may need to be involved for security and privacy aspects.</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r>
              <w:t>ZTE</w:t>
            </w:r>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r>
              <w:t>Lenovo Future Communications</w:t>
            </w:r>
          </w:p>
        </w:tc>
      </w:tr>
      <w:tr w:rsidR="001E489F" w14:paraId="3EDE7FDD" w14:textId="77777777" w:rsidTr="005875D6">
        <w:trPr>
          <w:cantSplit/>
          <w:jc w:val="center"/>
        </w:trPr>
        <w:tc>
          <w:tcPr>
            <w:tcW w:w="5029" w:type="dxa"/>
            <w:shd w:val="clear" w:color="auto" w:fill="auto"/>
          </w:tcPr>
          <w:p w14:paraId="3E863CFD" w14:textId="738E6595" w:rsidR="001E489F" w:rsidRDefault="00B119A6" w:rsidP="005875D6">
            <w:pPr>
              <w:pStyle w:val="TAL"/>
            </w:pPr>
            <w:r w:rsidRPr="00CB690C">
              <w:rPr>
                <w:rFonts w:cs="Arial"/>
                <w:szCs w:val="18"/>
                <w:bdr w:val="none" w:sz="0" w:space="0" w:color="auto" w:frame="1"/>
                <w:shd w:val="clear" w:color="auto" w:fill="F2F2F2"/>
              </w:rPr>
              <w:t>Beijing Xiaomi Mobile Software</w:t>
            </w:r>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r>
              <w:t>InterDigital</w:t>
            </w:r>
            <w:proofErr w:type="spellEnd"/>
            <w:r>
              <w:t xml:space="preserve"> Communications</w:t>
            </w:r>
          </w:p>
        </w:tc>
      </w:tr>
      <w:tr w:rsidR="00123F16" w14:paraId="2ACAAEC9" w14:textId="77777777" w:rsidTr="005875D6">
        <w:trPr>
          <w:cantSplit/>
          <w:jc w:val="center"/>
        </w:trPr>
        <w:tc>
          <w:tcPr>
            <w:tcW w:w="5029" w:type="dxa"/>
            <w:shd w:val="clear" w:color="auto" w:fill="auto"/>
          </w:tcPr>
          <w:p w14:paraId="4062D679" w14:textId="7E615C22" w:rsidR="00123F16" w:rsidRDefault="00123F16" w:rsidP="005875D6">
            <w:pPr>
              <w:pStyle w:val="TAL"/>
            </w:pPr>
            <w:r>
              <w:t>Huawei Technologies</w:t>
            </w:r>
          </w:p>
        </w:tc>
      </w:tr>
      <w:tr w:rsidR="007A3F9A" w14:paraId="373FEB08" w14:textId="77777777" w:rsidTr="005875D6">
        <w:trPr>
          <w:cantSplit/>
          <w:jc w:val="center"/>
        </w:trPr>
        <w:tc>
          <w:tcPr>
            <w:tcW w:w="5029" w:type="dxa"/>
            <w:shd w:val="clear" w:color="auto" w:fill="auto"/>
          </w:tcPr>
          <w:p w14:paraId="703EE0B8" w14:textId="5D952705" w:rsidR="007A3F9A" w:rsidRDefault="007A3F9A" w:rsidP="005875D6">
            <w:pPr>
              <w:pStyle w:val="TAL"/>
            </w:pPr>
            <w:r>
              <w:t>China Mobile</w:t>
            </w:r>
            <w:r w:rsidR="002B0443">
              <w:t xml:space="preserve"> Com. Corporation</w:t>
            </w:r>
          </w:p>
        </w:tc>
      </w:tr>
      <w:tr w:rsidR="00655557" w14:paraId="63030462" w14:textId="77777777" w:rsidTr="005875D6">
        <w:trPr>
          <w:cantSplit/>
          <w:jc w:val="center"/>
        </w:trPr>
        <w:tc>
          <w:tcPr>
            <w:tcW w:w="5029" w:type="dxa"/>
            <w:shd w:val="clear" w:color="auto" w:fill="auto"/>
          </w:tcPr>
          <w:p w14:paraId="3592FD0F" w14:textId="5A0C19C2" w:rsidR="00655557" w:rsidRDefault="00655557" w:rsidP="005875D6">
            <w:pPr>
              <w:pStyle w:val="TAL"/>
            </w:pPr>
            <w:r>
              <w:t>Tencent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711E" w14:textId="77777777" w:rsidR="003D55FF" w:rsidRDefault="003D55FF">
      <w:r>
        <w:separator/>
      </w:r>
    </w:p>
  </w:endnote>
  <w:endnote w:type="continuationSeparator" w:id="0">
    <w:p w14:paraId="76561BE9" w14:textId="77777777" w:rsidR="003D55FF" w:rsidRDefault="003D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04B9" w14:textId="77777777" w:rsidR="003D55FF" w:rsidRDefault="003D55FF">
      <w:r>
        <w:separator/>
      </w:r>
    </w:p>
  </w:footnote>
  <w:footnote w:type="continuationSeparator" w:id="0">
    <w:p w14:paraId="221208F6" w14:textId="77777777" w:rsidR="003D55FF" w:rsidRDefault="003D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443"/>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68D0"/>
    <w:rsid w:val="00477EBC"/>
    <w:rsid w:val="00482246"/>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2297"/>
    <w:rsid w:val="007F55EC"/>
    <w:rsid w:val="007F6574"/>
    <w:rsid w:val="00831057"/>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B4073"/>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1727"/>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53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ifications-groups/working-procedures" TargetMode="External"/><Relationship Id="rId4" Type="http://schemas.openxmlformats.org/officeDocument/2006/relationships/settings" Target="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903</Words>
  <Characters>5048</Characters>
  <Application>Microsoft Office Word</Application>
  <DocSecurity>0</DocSecurity>
  <Lines>136</Lines>
  <Paragraphs>108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17</cp:revision>
  <cp:lastPrinted>2001-04-23T09:30:00Z</cp:lastPrinted>
  <dcterms:created xsi:type="dcterms:W3CDTF">2023-05-25T12:39:00Z</dcterms:created>
  <dcterms:modified xsi:type="dcterms:W3CDTF">2023-05-25T14:03:00Z</dcterms:modified>
</cp:coreProperties>
</file>