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1CD4246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DD11D7" w:rsidRPr="00DD11D7">
        <w:rPr>
          <w:b/>
          <w:sz w:val="24"/>
        </w:rPr>
        <w:t>Guidelines to develop technologies in MeCAR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Pr="00DD11D7">
        <w:rPr>
          <w:lang w:val="en-GB"/>
        </w:rPr>
        <w:t>Approval</w:t>
      </w:r>
    </w:p>
    <w:p w14:paraId="1AEC9E93" w14:textId="21700CA5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DD11D7">
        <w:rPr>
          <w:lang w:val="en-GB"/>
        </w:rPr>
        <w:t>9.</w:t>
      </w:r>
      <w:r w:rsidR="0028783C">
        <w:rPr>
          <w:lang w:val="en-GB"/>
        </w:rPr>
        <w:t>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222DAB56" w14:textId="77777777" w:rsidR="005B20B6" w:rsidRPr="002D6F80" w:rsidRDefault="002D106D" w:rsidP="002D6F80">
      <w:pPr>
        <w:pStyle w:val="Body"/>
      </w:pPr>
      <w:r w:rsidRPr="002D6F80">
        <w:t xml:space="preserve">The MeCAR Work Item was agreed </w:t>
      </w:r>
      <w:r w:rsidR="000A0A60" w:rsidRPr="002D6F80">
        <w:t xml:space="preserve">at </w:t>
      </w:r>
      <w:r w:rsidR="005E4A06" w:rsidRPr="002D6F80">
        <w:t xml:space="preserve">the </w:t>
      </w:r>
      <w:r w:rsidR="000A0A60" w:rsidRPr="002D6F80">
        <w:t>SA4</w:t>
      </w:r>
      <w:r w:rsidR="005E4A06" w:rsidRPr="002D6F80">
        <w:t xml:space="preserve"> meeting </w:t>
      </w:r>
      <w:r w:rsidR="000A0A60" w:rsidRPr="002D6F80">
        <w:t>117 on February 2022.</w:t>
      </w:r>
      <w:r w:rsidR="005E4A06" w:rsidRPr="002D6F80">
        <w:t xml:space="preserve"> After one year of technical work, </w:t>
      </w:r>
      <w:r w:rsidR="009A5144" w:rsidRPr="002D6F80">
        <w:t xml:space="preserve">a certain number of technologies has been discussed </w:t>
      </w:r>
      <w:r w:rsidR="00CC5A34" w:rsidRPr="002D6F80">
        <w:t xml:space="preserve">and the corresponding Permanent Document collects the progress achieved on those topics. </w:t>
      </w:r>
      <w:r w:rsidR="001E373B" w:rsidRPr="002D6F80">
        <w:t>Up to now, the draft TS 26.119 remains in a skeleton form.</w:t>
      </w:r>
    </w:p>
    <w:p w14:paraId="0C747FCE" w14:textId="77777777" w:rsidR="00712885" w:rsidRDefault="00185A41" w:rsidP="002D6F80">
      <w:pPr>
        <w:pStyle w:val="Body"/>
      </w:pPr>
      <w:r w:rsidRPr="002D6F80">
        <w:t>From the past meetings in 2023, it appeared that some clarity on the process to develop the TS 26.119 would be desirable.</w:t>
      </w:r>
    </w:p>
    <w:p w14:paraId="6BD461D5" w14:textId="7FAF8B00" w:rsidR="00100CAD" w:rsidRDefault="00DD2CB7" w:rsidP="002D6F80">
      <w:pPr>
        <w:pStyle w:val="Body"/>
      </w:pPr>
      <w:r w:rsidRPr="002D6F80">
        <w:t>To this end</w:t>
      </w:r>
      <w:r w:rsidR="005B20B6" w:rsidRPr="002D6F80">
        <w:t xml:space="preserve">, this contribution aims at discussing the process of </w:t>
      </w:r>
      <w:r w:rsidR="00FE6536" w:rsidRPr="002D6F80">
        <w:t>adding to the TS and porting technologies from the PD</w:t>
      </w:r>
      <w:r w:rsidR="00185A41" w:rsidRPr="002D6F80">
        <w:t xml:space="preserve"> into the TS</w:t>
      </w:r>
      <w:r w:rsidR="008E0143" w:rsidRPr="002D6F80">
        <w:t xml:space="preserve"> as a guideline for future contributions.</w:t>
      </w:r>
    </w:p>
    <w:p w14:paraId="7D37FFB2" w14:textId="38D35D45" w:rsidR="00712885" w:rsidRPr="002D6F80" w:rsidRDefault="00712885" w:rsidP="002D6F80">
      <w:pPr>
        <w:pStyle w:val="Body"/>
      </w:pPr>
      <w:r>
        <w:t>If the content</w:t>
      </w:r>
      <w:r w:rsidR="00782C22">
        <w:t xml:space="preserve"> of this contribution</w:t>
      </w:r>
      <w:r>
        <w:t xml:space="preserve"> is agreeable, it</w:t>
      </w:r>
      <w:r w:rsidR="00782C22">
        <w:t xml:space="preserve"> is proposed to include</w:t>
      </w:r>
      <w:r w:rsidR="00B57BA2">
        <w:t xml:space="preserve"> Clause 2</w:t>
      </w:r>
      <w:r w:rsidR="00782C22">
        <w:t xml:space="preserve"> in the MeCAR Permanent Document as guidelines for future contributions.</w:t>
      </w:r>
    </w:p>
    <w:p w14:paraId="5FE8CF35" w14:textId="51BC4761" w:rsidR="00100CAD" w:rsidRDefault="00D16439" w:rsidP="00FF27F7">
      <w:pPr>
        <w:pStyle w:val="Heading1"/>
        <w:tabs>
          <w:tab w:val="left" w:pos="2410"/>
        </w:tabs>
      </w:pPr>
      <w:r w:rsidRPr="000B0E51">
        <w:t>2</w:t>
      </w:r>
      <w:r w:rsidR="00FF27F7">
        <w:tab/>
      </w:r>
      <w:r w:rsidR="00B34708">
        <w:t xml:space="preserve">Views on MeCAR </w:t>
      </w:r>
      <w:r w:rsidR="00D34DDB">
        <w:t>development</w:t>
      </w:r>
    </w:p>
    <w:p w14:paraId="3E1AAFAC" w14:textId="31864F52" w:rsidR="001E1F21" w:rsidRPr="00377EE8" w:rsidRDefault="001E1F21" w:rsidP="00377EE8">
      <w:pPr>
        <w:pStyle w:val="Body"/>
        <w:rPr>
          <w:lang w:eastAsia="en-GB"/>
        </w:rPr>
      </w:pPr>
      <w:r>
        <w:rPr>
          <w:lang w:eastAsia="en-GB"/>
        </w:rPr>
        <w:t xml:space="preserve">Deploying AR services and application supposes to know the characteristics and capabilities of </w:t>
      </w:r>
      <w:r w:rsidRPr="00377EE8">
        <w:t xml:space="preserve">the targeted </w:t>
      </w:r>
      <w:r w:rsidR="00377EE8" w:rsidRPr="00377EE8">
        <w:t>devices</w:t>
      </w:r>
      <w:r w:rsidRPr="00377EE8">
        <w:t xml:space="preserve"> such that the </w:t>
      </w:r>
      <w:r w:rsidR="00377EE8" w:rsidRPr="00377EE8">
        <w:t xml:space="preserve">application can run with a </w:t>
      </w:r>
      <w:r w:rsidR="009A455E">
        <w:t>guaranteed</w:t>
      </w:r>
      <w:r w:rsidR="00377EE8" w:rsidRPr="00377EE8">
        <w:t xml:space="preserve"> </w:t>
      </w:r>
      <w:r w:rsidR="009A455E">
        <w:t xml:space="preserve">degree </w:t>
      </w:r>
      <w:r w:rsidR="00377EE8" w:rsidRPr="00377EE8">
        <w:t>of quality.</w:t>
      </w:r>
      <w:r w:rsidR="009A455E">
        <w:t xml:space="preserve"> Typically, those AR devices would be manufacture</w:t>
      </w:r>
      <w:r w:rsidR="00AD4CB4">
        <w:t>d</w:t>
      </w:r>
      <w:r w:rsidR="009A455E">
        <w:t xml:space="preserve"> by </w:t>
      </w:r>
      <w:r w:rsidR="00AD4CB4">
        <w:t xml:space="preserve">different </w:t>
      </w:r>
      <w:r w:rsidR="009A455E">
        <w:t xml:space="preserve">companies </w:t>
      </w:r>
      <w:r w:rsidR="00AD4CB4">
        <w:t xml:space="preserve">from those running and deploying the </w:t>
      </w:r>
      <w:r w:rsidR="009A455E">
        <w:t>services</w:t>
      </w:r>
      <w:r w:rsidR="00850E53">
        <w:t xml:space="preserve"> as illustrated on </w:t>
      </w:r>
      <w:r w:rsidR="00D748B5">
        <w:fldChar w:fldCharType="begin"/>
      </w:r>
      <w:r w:rsidR="00D748B5">
        <w:instrText xml:space="preserve"> REF _Ref135140928 \h </w:instrText>
      </w:r>
      <w:r w:rsidR="00D748B5">
        <w:fldChar w:fldCharType="separate"/>
      </w:r>
      <w:r w:rsidR="00D748B5">
        <w:t xml:space="preserve">Figure </w:t>
      </w:r>
      <w:r w:rsidR="00D748B5">
        <w:rPr>
          <w:noProof/>
        </w:rPr>
        <w:t>1</w:t>
      </w:r>
      <w:r w:rsidR="00D748B5">
        <w:fldChar w:fldCharType="end"/>
      </w:r>
      <w:r w:rsidR="00D748B5">
        <w:t>.</w:t>
      </w:r>
    </w:p>
    <w:p w14:paraId="4C166D64" w14:textId="77777777" w:rsidR="00850E53" w:rsidRDefault="00B34708" w:rsidP="00850E53">
      <w:pPr>
        <w:keepNext/>
      </w:pPr>
      <w:r>
        <w:rPr>
          <w:noProof/>
          <w:lang w:eastAsia="en-GB"/>
        </w:rPr>
        <w:drawing>
          <wp:inline distT="0" distB="0" distL="0" distR="0" wp14:anchorId="791E633F" wp14:editId="236E31A7">
            <wp:extent cx="6396847" cy="1732215"/>
            <wp:effectExtent l="0" t="0" r="0" b="0"/>
            <wp:docPr id="624909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021" cy="173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3B826" w14:textId="29CB5D87" w:rsidR="00B34708" w:rsidRPr="00B34708" w:rsidRDefault="00850E53" w:rsidP="00850E53">
      <w:pPr>
        <w:pStyle w:val="Caption"/>
        <w:jc w:val="center"/>
        <w:rPr>
          <w:lang w:eastAsia="en-GB"/>
        </w:rPr>
      </w:pPr>
      <w:bookmarkStart w:id="0" w:name="_Ref135140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0A6A">
        <w:rPr>
          <w:noProof/>
        </w:rPr>
        <w:t>1</w:t>
      </w:r>
      <w:r>
        <w:fldChar w:fldCharType="end"/>
      </w:r>
      <w:bookmarkEnd w:id="0"/>
      <w:r>
        <w:t xml:space="preserve"> - AR devices</w:t>
      </w:r>
      <w:r>
        <w:rPr>
          <w:noProof/>
        </w:rPr>
        <w:t xml:space="preserve"> in-between manufacturer and service provider</w:t>
      </w:r>
    </w:p>
    <w:p w14:paraId="54E8019E" w14:textId="0657C7DB" w:rsidR="00D748B5" w:rsidRDefault="001E1F21" w:rsidP="001E1F21">
      <w:pPr>
        <w:pStyle w:val="Body"/>
        <w:rPr>
          <w:lang w:eastAsia="en-GB"/>
        </w:rPr>
      </w:pPr>
      <w:r>
        <w:rPr>
          <w:lang w:eastAsia="en-GB"/>
        </w:rPr>
        <w:t>At high-level, the MeCAR</w:t>
      </w:r>
      <w:r w:rsidR="00850E53">
        <w:rPr>
          <w:lang w:eastAsia="en-GB"/>
        </w:rPr>
        <w:t xml:space="preserve"> specification is thus a way to enable </w:t>
      </w:r>
      <w:r w:rsidR="00FF76E3">
        <w:rPr>
          <w:lang w:eastAsia="en-GB"/>
        </w:rPr>
        <w:t xml:space="preserve">the </w:t>
      </w:r>
      <w:r w:rsidR="001A755F">
        <w:rPr>
          <w:lang w:eastAsia="en-GB"/>
        </w:rPr>
        <w:t xml:space="preserve">success of the AR ecosystem </w:t>
      </w:r>
      <w:r w:rsidR="00057300">
        <w:rPr>
          <w:lang w:eastAsia="en-GB"/>
        </w:rPr>
        <w:t xml:space="preserve">with </w:t>
      </w:r>
      <w:r w:rsidR="009A420A">
        <w:rPr>
          <w:lang w:eastAsia="en-GB"/>
        </w:rPr>
        <w:t xml:space="preserve">the releases of </w:t>
      </w:r>
      <w:r w:rsidR="00FF76E3">
        <w:rPr>
          <w:lang w:eastAsia="en-GB"/>
        </w:rPr>
        <w:t xml:space="preserve">AR devices </w:t>
      </w:r>
      <w:r w:rsidR="009A420A">
        <w:rPr>
          <w:lang w:eastAsia="en-GB"/>
        </w:rPr>
        <w:t xml:space="preserve">with known capabilities supporting the deployment of application and services relying on </w:t>
      </w:r>
      <w:r w:rsidR="00D748B5">
        <w:rPr>
          <w:lang w:eastAsia="en-GB"/>
        </w:rPr>
        <w:t>those</w:t>
      </w:r>
      <w:r w:rsidR="009A420A">
        <w:rPr>
          <w:lang w:eastAsia="en-GB"/>
        </w:rPr>
        <w:t xml:space="preserve"> capabilities.</w:t>
      </w:r>
    </w:p>
    <w:p w14:paraId="7EA75560" w14:textId="70BABD7C" w:rsidR="00D748B5" w:rsidRDefault="00D748B5" w:rsidP="001E1F21">
      <w:pPr>
        <w:pStyle w:val="Body"/>
        <w:rPr>
          <w:lang w:eastAsia="en-GB"/>
        </w:rPr>
      </w:pPr>
      <w:r>
        <w:rPr>
          <w:lang w:eastAsia="en-GB"/>
        </w:rPr>
        <w:t xml:space="preserve">At this point, note that the above is nothing else </w:t>
      </w:r>
      <w:r w:rsidR="001171E6">
        <w:rPr>
          <w:lang w:eastAsia="en-GB"/>
        </w:rPr>
        <w:t xml:space="preserve">but </w:t>
      </w:r>
      <w:r w:rsidR="002508B4">
        <w:rPr>
          <w:lang w:eastAsia="en-GB"/>
        </w:rPr>
        <w:t>enabling interoperability as usual, simply here applied to the AR ecosystem.</w:t>
      </w:r>
    </w:p>
    <w:p w14:paraId="47B7F103" w14:textId="77777777" w:rsidR="00776CB9" w:rsidRDefault="001171E6" w:rsidP="001E1F21">
      <w:pPr>
        <w:pStyle w:val="Body"/>
        <w:rPr>
          <w:lang w:eastAsia="en-GB"/>
        </w:rPr>
      </w:pPr>
      <w:r>
        <w:rPr>
          <w:lang w:eastAsia="en-GB"/>
        </w:rPr>
        <w:t>More s</w:t>
      </w:r>
      <w:r w:rsidR="00275A93">
        <w:rPr>
          <w:lang w:eastAsia="en-GB"/>
        </w:rPr>
        <w:t xml:space="preserve">pecific to MeCAR is the scope and the philosophy behind the </w:t>
      </w:r>
      <w:r w:rsidR="00A46909">
        <w:rPr>
          <w:lang w:eastAsia="en-GB"/>
        </w:rPr>
        <w:t>MeCAR Work Item and the corresponding TS 26.119</w:t>
      </w:r>
      <w:r w:rsidR="00644B1E">
        <w:rPr>
          <w:lang w:eastAsia="en-GB"/>
        </w:rPr>
        <w:t xml:space="preserve"> specification</w:t>
      </w:r>
      <w:r w:rsidR="00A46909">
        <w:rPr>
          <w:lang w:eastAsia="en-GB"/>
        </w:rPr>
        <w:t xml:space="preserve">. As a reminder of </w:t>
      </w:r>
      <w:r w:rsidR="001C2269">
        <w:rPr>
          <w:lang w:eastAsia="en-GB"/>
        </w:rPr>
        <w:t>MeCAR’s</w:t>
      </w:r>
      <w:r w:rsidR="00A46909">
        <w:rPr>
          <w:lang w:eastAsia="en-GB"/>
        </w:rPr>
        <w:t xml:space="preserve"> WID</w:t>
      </w:r>
      <w:r w:rsidR="001C2269">
        <w:rPr>
          <w:lang w:eastAsia="en-GB"/>
        </w:rPr>
        <w:t xml:space="preserve"> </w:t>
      </w:r>
      <w:r w:rsidR="001C2269">
        <w:rPr>
          <w:lang w:eastAsia="en-GB"/>
        </w:rPr>
        <w:fldChar w:fldCharType="begin"/>
      </w:r>
      <w:r w:rsidR="001C2269">
        <w:rPr>
          <w:lang w:eastAsia="en-GB"/>
        </w:rPr>
        <w:instrText xml:space="preserve"> REF _Ref135141324 \r \h </w:instrText>
      </w:r>
      <w:r w:rsidR="001C2269">
        <w:rPr>
          <w:lang w:eastAsia="en-GB"/>
        </w:rPr>
      </w:r>
      <w:r w:rsidR="001C2269">
        <w:rPr>
          <w:lang w:eastAsia="en-GB"/>
        </w:rPr>
        <w:fldChar w:fldCharType="separate"/>
      </w:r>
      <w:r w:rsidR="001C2269">
        <w:rPr>
          <w:lang w:eastAsia="en-GB"/>
        </w:rPr>
        <w:t>[1]</w:t>
      </w:r>
      <w:r w:rsidR="001C2269">
        <w:rPr>
          <w:lang w:eastAsia="en-GB"/>
        </w:rPr>
        <w:fldChar w:fldCharType="end"/>
      </w:r>
      <w:r w:rsidR="00776CB9">
        <w:rPr>
          <w:lang w:eastAsia="en-GB"/>
        </w:rPr>
        <w:t>:</w:t>
      </w:r>
    </w:p>
    <w:p w14:paraId="0247D579" w14:textId="18D538FC" w:rsidR="00776CB9" w:rsidRDefault="00A46909" w:rsidP="00776CB9">
      <w:pPr>
        <w:pStyle w:val="Body"/>
        <w:jc w:val="center"/>
        <w:rPr>
          <w:lang w:eastAsia="en-GB"/>
        </w:rPr>
      </w:pPr>
      <w:r w:rsidRPr="00776CB9">
        <w:rPr>
          <w:b/>
          <w:bCs/>
          <w:lang w:eastAsia="en-GB"/>
        </w:rPr>
        <w:t>“</w:t>
      </w:r>
      <w:r w:rsidR="004B1D35" w:rsidRPr="00776CB9">
        <w:rPr>
          <w:b/>
          <w:bCs/>
        </w:rPr>
        <w:t>This work item defines service-independent media capabilities for AR devices</w:t>
      </w:r>
      <w:r w:rsidRPr="00776CB9">
        <w:rPr>
          <w:b/>
          <w:bCs/>
          <w:lang w:eastAsia="en-GB"/>
        </w:rPr>
        <w:t>”</w:t>
      </w:r>
    </w:p>
    <w:p w14:paraId="292848A9" w14:textId="5E10474B" w:rsidR="002508B4" w:rsidRDefault="004B1D35" w:rsidP="001E1F21">
      <w:pPr>
        <w:pStyle w:val="Body"/>
        <w:rPr>
          <w:lang w:eastAsia="en-GB"/>
        </w:rPr>
      </w:pPr>
      <w:r>
        <w:rPr>
          <w:lang w:eastAsia="en-GB"/>
        </w:rPr>
        <w:t xml:space="preserve">This means that the specification does not define </w:t>
      </w:r>
      <w:r w:rsidR="0064389D">
        <w:rPr>
          <w:lang w:eastAsia="en-GB"/>
        </w:rPr>
        <w:t xml:space="preserve">any </w:t>
      </w:r>
      <w:r>
        <w:rPr>
          <w:lang w:eastAsia="en-GB"/>
        </w:rPr>
        <w:t xml:space="preserve">use cases, application or services </w:t>
      </w:r>
      <w:r w:rsidR="00073656">
        <w:rPr>
          <w:lang w:eastAsia="en-GB"/>
        </w:rPr>
        <w:t>but merely defines the media capabilities needed to enable those applications. This particularity has caused</w:t>
      </w:r>
      <w:r w:rsidR="00B45860">
        <w:rPr>
          <w:lang w:eastAsia="en-GB"/>
        </w:rPr>
        <w:t xml:space="preserve"> some challenges in the way technologies were proposed</w:t>
      </w:r>
      <w:r w:rsidR="0003249C">
        <w:rPr>
          <w:lang w:eastAsia="en-GB"/>
        </w:rPr>
        <w:t xml:space="preserve">. In some cases, technologies would be application or service </w:t>
      </w:r>
      <w:r w:rsidR="0003249C">
        <w:rPr>
          <w:lang w:eastAsia="en-GB"/>
        </w:rPr>
        <w:lastRenderedPageBreak/>
        <w:t>specific and therefore not fitting the MeCAR specification</w:t>
      </w:r>
      <w:r w:rsidR="00EF3C79">
        <w:rPr>
          <w:lang w:eastAsia="en-GB"/>
        </w:rPr>
        <w:t>’s scope</w:t>
      </w:r>
      <w:r w:rsidR="0003249C">
        <w:rPr>
          <w:lang w:eastAsia="en-GB"/>
        </w:rPr>
        <w:t xml:space="preserve"> </w:t>
      </w:r>
      <w:r w:rsidR="008B4D34">
        <w:rPr>
          <w:lang w:eastAsia="en-GB"/>
        </w:rPr>
        <w:t>even though</w:t>
      </w:r>
      <w:r w:rsidR="00E008C9">
        <w:rPr>
          <w:lang w:eastAsia="en-GB"/>
        </w:rPr>
        <w:t xml:space="preserve"> they </w:t>
      </w:r>
      <w:r w:rsidR="00EF3C79">
        <w:rPr>
          <w:lang w:eastAsia="en-GB"/>
        </w:rPr>
        <w:t xml:space="preserve">are </w:t>
      </w:r>
      <w:r w:rsidR="00E008C9">
        <w:rPr>
          <w:lang w:eastAsia="en-GB"/>
        </w:rPr>
        <w:t xml:space="preserve">relevant for the overall design of the </w:t>
      </w:r>
      <w:r w:rsidR="003708AE">
        <w:rPr>
          <w:lang w:eastAsia="en-GB"/>
        </w:rPr>
        <w:t>proposed</w:t>
      </w:r>
      <w:r w:rsidR="00EF3C79">
        <w:rPr>
          <w:lang w:eastAsia="en-GB"/>
        </w:rPr>
        <w:t xml:space="preserve"> </w:t>
      </w:r>
      <w:r w:rsidR="00E008C9">
        <w:rPr>
          <w:lang w:eastAsia="en-GB"/>
        </w:rPr>
        <w:t xml:space="preserve">application. In some other cases, the proposed media capabilities may have been </w:t>
      </w:r>
      <w:r w:rsidR="003708AE">
        <w:rPr>
          <w:lang w:eastAsia="en-GB"/>
        </w:rPr>
        <w:t>seen as</w:t>
      </w:r>
      <w:r w:rsidR="00E008C9">
        <w:rPr>
          <w:lang w:eastAsia="en-GB"/>
        </w:rPr>
        <w:t xml:space="preserve"> abstract since </w:t>
      </w:r>
      <w:r w:rsidR="00896C36">
        <w:rPr>
          <w:lang w:eastAsia="en-GB"/>
        </w:rPr>
        <w:t xml:space="preserve">not explicitly related to a </w:t>
      </w:r>
      <w:r w:rsidR="00A82D4B">
        <w:rPr>
          <w:lang w:eastAsia="en-GB"/>
        </w:rPr>
        <w:t>concrete application</w:t>
      </w:r>
      <w:r w:rsidR="00896C36">
        <w:rPr>
          <w:lang w:eastAsia="en-GB"/>
        </w:rPr>
        <w:t>.</w:t>
      </w:r>
      <w:r w:rsidR="008B4D34">
        <w:rPr>
          <w:lang w:eastAsia="en-GB"/>
        </w:rPr>
        <w:t xml:space="preserve"> Lastly, </w:t>
      </w:r>
      <w:r w:rsidR="00D65993">
        <w:rPr>
          <w:lang w:eastAsia="en-GB"/>
        </w:rPr>
        <w:t>in yet another case, technologies were proposed based on the knowledge of the current capabilities of hardware.</w:t>
      </w:r>
    </w:p>
    <w:p w14:paraId="6D9DE6B1" w14:textId="0A372120" w:rsidR="00896C36" w:rsidRDefault="003656DE" w:rsidP="001E1F21">
      <w:pPr>
        <w:pStyle w:val="Body"/>
        <w:rPr>
          <w:lang w:eastAsia="en-GB"/>
        </w:rPr>
      </w:pPr>
      <w:r>
        <w:rPr>
          <w:lang w:eastAsia="en-GB"/>
        </w:rPr>
        <w:t xml:space="preserve">In our opinion, </w:t>
      </w:r>
      <w:r w:rsidR="008B4D34">
        <w:rPr>
          <w:lang w:eastAsia="en-GB"/>
        </w:rPr>
        <w:t>both views</w:t>
      </w:r>
      <w:r w:rsidR="00D65993">
        <w:rPr>
          <w:lang w:eastAsia="en-GB"/>
        </w:rPr>
        <w:t xml:space="preserve">, hardware-centric and application-centric, </w:t>
      </w:r>
      <w:r w:rsidR="00A67756">
        <w:rPr>
          <w:lang w:eastAsia="en-GB"/>
        </w:rPr>
        <w:t>are</w:t>
      </w:r>
      <w:r w:rsidR="00D65993">
        <w:rPr>
          <w:lang w:eastAsia="en-GB"/>
        </w:rPr>
        <w:t xml:space="preserve"> valuable for the development of the MeCAR specification as illustrated in </w:t>
      </w:r>
      <w:r w:rsidR="00A67756">
        <w:rPr>
          <w:lang w:eastAsia="en-GB"/>
        </w:rPr>
        <w:fldChar w:fldCharType="begin"/>
      </w:r>
      <w:r w:rsidR="00A67756">
        <w:rPr>
          <w:lang w:eastAsia="en-GB"/>
        </w:rPr>
        <w:instrText xml:space="preserve"> REF _Ref135142007 \h </w:instrText>
      </w:r>
      <w:r w:rsidR="00A67756">
        <w:rPr>
          <w:lang w:eastAsia="en-GB"/>
        </w:rPr>
      </w:r>
      <w:r w:rsidR="00A67756">
        <w:rPr>
          <w:lang w:eastAsia="en-GB"/>
        </w:rPr>
        <w:fldChar w:fldCharType="separate"/>
      </w:r>
      <w:r w:rsidR="00A67756">
        <w:t xml:space="preserve">Figure </w:t>
      </w:r>
      <w:r w:rsidR="00A67756">
        <w:rPr>
          <w:noProof/>
        </w:rPr>
        <w:t>2</w:t>
      </w:r>
      <w:r w:rsidR="00A67756">
        <w:rPr>
          <w:lang w:eastAsia="en-GB"/>
        </w:rPr>
        <w:fldChar w:fldCharType="end"/>
      </w:r>
      <w:r w:rsidR="00D65993">
        <w:rPr>
          <w:lang w:eastAsia="en-GB"/>
        </w:rPr>
        <w:t>.</w:t>
      </w:r>
    </w:p>
    <w:p w14:paraId="32288F4A" w14:textId="77777777" w:rsidR="00D65993" w:rsidRDefault="00D65993" w:rsidP="00D65993">
      <w:pPr>
        <w:pStyle w:val="Body"/>
        <w:keepNext/>
        <w:jc w:val="center"/>
      </w:pPr>
      <w:r>
        <w:rPr>
          <w:noProof/>
          <w:lang w:eastAsia="en-GB"/>
        </w:rPr>
        <w:drawing>
          <wp:inline distT="0" distB="0" distL="0" distR="0" wp14:anchorId="29AA7F36" wp14:editId="7127440F">
            <wp:extent cx="5655120" cy="3427925"/>
            <wp:effectExtent l="0" t="0" r="0" b="1270"/>
            <wp:docPr id="13934773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651" cy="3434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BF306" w14:textId="11F458A6" w:rsidR="00D65993" w:rsidRDefault="00D65993" w:rsidP="00D65993">
      <w:pPr>
        <w:pStyle w:val="Caption"/>
        <w:jc w:val="center"/>
        <w:rPr>
          <w:lang w:eastAsia="en-GB"/>
        </w:rPr>
      </w:pPr>
      <w:bookmarkStart w:id="1" w:name="_Ref1351420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0A6A">
        <w:rPr>
          <w:noProof/>
        </w:rPr>
        <w:t>2</w:t>
      </w:r>
      <w:r>
        <w:fldChar w:fldCharType="end"/>
      </w:r>
      <w:bookmarkEnd w:id="1"/>
      <w:r>
        <w:t xml:space="preserve"> - Hardware-driven and application-driven MeCAR capabilities development</w:t>
      </w:r>
    </w:p>
    <w:p w14:paraId="38AEE767" w14:textId="43EE10F5" w:rsidR="005832D7" w:rsidRDefault="00E45D60" w:rsidP="00096A6E">
      <w:pPr>
        <w:pStyle w:val="Body"/>
        <w:rPr>
          <w:lang w:eastAsia="en-GB"/>
        </w:rPr>
      </w:pPr>
      <w:r>
        <w:rPr>
          <w:lang w:eastAsia="en-GB"/>
        </w:rPr>
        <w:t xml:space="preserve">As a result, whenever technologies </w:t>
      </w:r>
      <w:r w:rsidR="00D34DDB">
        <w:rPr>
          <w:lang w:eastAsia="en-GB"/>
        </w:rPr>
        <w:t>are</w:t>
      </w:r>
      <w:r>
        <w:rPr>
          <w:lang w:eastAsia="en-GB"/>
        </w:rPr>
        <w:t xml:space="preserve"> provided in the context of MeCAR</w:t>
      </w:r>
      <w:r w:rsidR="00D34DDB">
        <w:rPr>
          <w:lang w:eastAsia="en-GB"/>
        </w:rPr>
        <w:t xml:space="preserve">, the contribution should provide those </w:t>
      </w:r>
      <w:r w:rsidR="005832D7">
        <w:rPr>
          <w:lang w:eastAsia="en-GB"/>
        </w:rPr>
        <w:t xml:space="preserve">supporting </w:t>
      </w:r>
      <w:r w:rsidR="00D34DDB">
        <w:rPr>
          <w:lang w:eastAsia="en-GB"/>
        </w:rPr>
        <w:t>elements</w:t>
      </w:r>
      <w:r w:rsidR="005832D7">
        <w:rPr>
          <w:lang w:eastAsia="en-GB"/>
        </w:rPr>
        <w:t>:</w:t>
      </w:r>
    </w:p>
    <w:p w14:paraId="5D4C4708" w14:textId="5226A810" w:rsidR="005832D7" w:rsidRPr="002A29CE" w:rsidRDefault="00C80D45" w:rsidP="005832D7">
      <w:pPr>
        <w:pStyle w:val="ListParagraph"/>
        <w:numPr>
          <w:ilvl w:val="0"/>
          <w:numId w:val="10"/>
        </w:numPr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If </w:t>
      </w:r>
      <w:r w:rsidR="002A29CE" w:rsidRPr="002A29CE">
        <w:rPr>
          <w:sz w:val="22"/>
          <w:szCs w:val="22"/>
          <w:lang w:eastAsia="en-GB"/>
        </w:rPr>
        <w:t>motivated by hardware capabilities/constraints</w:t>
      </w:r>
      <w:r>
        <w:rPr>
          <w:sz w:val="22"/>
          <w:szCs w:val="22"/>
          <w:lang w:eastAsia="en-GB"/>
        </w:rPr>
        <w:t>, the contribution should provide them</w:t>
      </w:r>
      <w:r w:rsidR="00604B03">
        <w:rPr>
          <w:sz w:val="22"/>
          <w:szCs w:val="22"/>
          <w:lang w:eastAsia="en-GB"/>
        </w:rPr>
        <w:t xml:space="preserve"> before discussing the proposed specification text.</w:t>
      </w:r>
    </w:p>
    <w:p w14:paraId="4826E92C" w14:textId="300A4C39" w:rsidR="002A29CE" w:rsidRDefault="002A29CE" w:rsidP="005832D7">
      <w:pPr>
        <w:pStyle w:val="ListParagraph"/>
        <w:numPr>
          <w:ilvl w:val="0"/>
          <w:numId w:val="10"/>
        </w:numPr>
        <w:rPr>
          <w:sz w:val="22"/>
          <w:szCs w:val="22"/>
          <w:lang w:eastAsia="en-GB"/>
        </w:rPr>
      </w:pPr>
      <w:r w:rsidRPr="002A29CE">
        <w:rPr>
          <w:sz w:val="22"/>
          <w:szCs w:val="22"/>
          <w:lang w:eastAsia="en-GB"/>
        </w:rPr>
        <w:t>I</w:t>
      </w:r>
      <w:r w:rsidR="00C80D45">
        <w:rPr>
          <w:sz w:val="22"/>
          <w:szCs w:val="22"/>
          <w:lang w:eastAsia="en-GB"/>
        </w:rPr>
        <w:t xml:space="preserve">f </w:t>
      </w:r>
      <w:r w:rsidRPr="002A29CE">
        <w:rPr>
          <w:sz w:val="22"/>
          <w:szCs w:val="22"/>
          <w:lang w:eastAsia="en-GB"/>
        </w:rPr>
        <w:t xml:space="preserve">motivated for supporting a specific </w:t>
      </w:r>
      <w:r w:rsidR="00AD0077">
        <w:rPr>
          <w:sz w:val="22"/>
          <w:szCs w:val="22"/>
          <w:lang w:eastAsia="en-GB"/>
        </w:rPr>
        <w:t xml:space="preserve">application, the contribution should describe the application/service </w:t>
      </w:r>
      <w:r w:rsidR="00604B03">
        <w:rPr>
          <w:sz w:val="22"/>
          <w:szCs w:val="22"/>
          <w:lang w:eastAsia="en-GB"/>
        </w:rPr>
        <w:t>before discussing the proposed specification text.</w:t>
      </w:r>
    </w:p>
    <w:p w14:paraId="3BB9EBC9" w14:textId="77777777" w:rsidR="00AC0368" w:rsidRDefault="00AC0368" w:rsidP="00AC0368">
      <w:pPr>
        <w:rPr>
          <w:szCs w:val="22"/>
          <w:lang w:eastAsia="en-GB"/>
        </w:rPr>
      </w:pPr>
    </w:p>
    <w:p w14:paraId="6D3B8402" w14:textId="2EF20B18" w:rsidR="007A0EA8" w:rsidRDefault="007A0EA8" w:rsidP="002A3C5A">
      <w:pPr>
        <w:pStyle w:val="Body"/>
        <w:rPr>
          <w:lang w:eastAsia="en-GB"/>
        </w:rPr>
      </w:pPr>
      <w:r>
        <w:rPr>
          <w:lang w:eastAsia="en-GB"/>
        </w:rPr>
        <w:t>In the case of application</w:t>
      </w:r>
      <w:r w:rsidR="0083247C">
        <w:rPr>
          <w:lang w:eastAsia="en-GB"/>
        </w:rPr>
        <w:t>s</w:t>
      </w:r>
      <w:r>
        <w:rPr>
          <w:lang w:eastAsia="en-GB"/>
        </w:rPr>
        <w:t xml:space="preserve"> motivating</w:t>
      </w:r>
      <w:r w:rsidR="002A3C5A">
        <w:rPr>
          <w:lang w:eastAsia="en-GB"/>
        </w:rPr>
        <w:t xml:space="preserve"> the </w:t>
      </w:r>
      <w:r w:rsidR="0083247C">
        <w:rPr>
          <w:lang w:eastAsia="en-GB"/>
        </w:rPr>
        <w:t>proposed</w:t>
      </w:r>
      <w:r w:rsidR="002A3C5A">
        <w:rPr>
          <w:lang w:eastAsia="en-GB"/>
        </w:rPr>
        <w:t xml:space="preserve"> technologies, a summary table as below could be used</w:t>
      </w:r>
      <w:r w:rsidR="00843F0B">
        <w:rPr>
          <w:lang w:eastAsia="en-GB"/>
        </w:rPr>
        <w:t xml:space="preserve"> by the proponents</w:t>
      </w:r>
      <w:r w:rsidR="002A3C5A">
        <w:rPr>
          <w:lang w:eastAsia="en-GB"/>
        </w:rPr>
        <w:t>.</w:t>
      </w:r>
    </w:p>
    <w:p w14:paraId="74488B77" w14:textId="77777777" w:rsidR="00843F0B" w:rsidRDefault="00843F0B" w:rsidP="002A3C5A">
      <w:pPr>
        <w:pStyle w:val="Body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8"/>
        <w:gridCol w:w="2052"/>
        <w:gridCol w:w="1604"/>
        <w:gridCol w:w="1839"/>
        <w:gridCol w:w="1746"/>
      </w:tblGrid>
      <w:tr w:rsidR="007E0A7E" w14:paraId="46491E86" w14:textId="43102EAA" w:rsidTr="00843F0B">
        <w:tc>
          <w:tcPr>
            <w:tcW w:w="2098" w:type="dxa"/>
          </w:tcPr>
          <w:p w14:paraId="28AB5A6C" w14:textId="10BF0A4F" w:rsidR="007E0A7E" w:rsidRPr="00F17228" w:rsidRDefault="007E0A7E" w:rsidP="00F17228">
            <w:pPr>
              <w:pStyle w:val="Body"/>
              <w:jc w:val="center"/>
              <w:rPr>
                <w:b/>
                <w:bCs/>
                <w:lang w:eastAsia="en-GB"/>
              </w:rPr>
            </w:pPr>
            <w:r w:rsidRPr="00F17228">
              <w:rPr>
                <w:b/>
                <w:bCs/>
                <w:lang w:eastAsia="en-GB"/>
              </w:rPr>
              <w:t>Application</w:t>
            </w:r>
          </w:p>
        </w:tc>
        <w:tc>
          <w:tcPr>
            <w:tcW w:w="2052" w:type="dxa"/>
          </w:tcPr>
          <w:p w14:paraId="50B8B933" w14:textId="6DD7CC02" w:rsidR="007E0A7E" w:rsidRPr="00F17228" w:rsidRDefault="007E0A7E" w:rsidP="00F17228">
            <w:pPr>
              <w:pStyle w:val="Body"/>
              <w:jc w:val="center"/>
              <w:rPr>
                <w:b/>
                <w:bCs/>
                <w:lang w:eastAsia="en-GB"/>
              </w:rPr>
            </w:pPr>
            <w:r w:rsidRPr="00F17228">
              <w:rPr>
                <w:b/>
                <w:bCs/>
                <w:lang w:eastAsia="en-GB"/>
              </w:rPr>
              <w:t>Media capabilities</w:t>
            </w:r>
          </w:p>
        </w:tc>
        <w:tc>
          <w:tcPr>
            <w:tcW w:w="1604" w:type="dxa"/>
          </w:tcPr>
          <w:p w14:paraId="3F77A733" w14:textId="26B4352B" w:rsidR="007E0A7E" w:rsidRPr="00F17228" w:rsidRDefault="007E0A7E" w:rsidP="00F17228">
            <w:pPr>
              <w:pStyle w:val="Body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XR capabilities</w:t>
            </w:r>
          </w:p>
        </w:tc>
        <w:tc>
          <w:tcPr>
            <w:tcW w:w="1839" w:type="dxa"/>
          </w:tcPr>
          <w:p w14:paraId="59A5BCCE" w14:textId="1BD46D73" w:rsidR="007E0A7E" w:rsidRPr="00F17228" w:rsidRDefault="007E0A7E" w:rsidP="00F17228">
            <w:pPr>
              <w:pStyle w:val="Body"/>
              <w:jc w:val="center"/>
              <w:rPr>
                <w:b/>
                <w:bCs/>
                <w:lang w:eastAsia="en-GB"/>
              </w:rPr>
            </w:pPr>
            <w:r w:rsidRPr="00F17228">
              <w:rPr>
                <w:b/>
                <w:bCs/>
                <w:lang w:eastAsia="en-GB"/>
              </w:rPr>
              <w:t>Format</w:t>
            </w:r>
          </w:p>
        </w:tc>
        <w:tc>
          <w:tcPr>
            <w:tcW w:w="1746" w:type="dxa"/>
          </w:tcPr>
          <w:p w14:paraId="5EDB0D7E" w14:textId="73C9689B" w:rsidR="007E0A7E" w:rsidRPr="00F17228" w:rsidRDefault="007E0A7E" w:rsidP="00F17228">
            <w:pPr>
              <w:pStyle w:val="Body"/>
              <w:jc w:val="center"/>
              <w:rPr>
                <w:b/>
                <w:bCs/>
                <w:lang w:eastAsia="en-GB"/>
              </w:rPr>
            </w:pPr>
            <w:r w:rsidRPr="00F17228">
              <w:rPr>
                <w:b/>
                <w:bCs/>
                <w:lang w:eastAsia="en-GB"/>
              </w:rPr>
              <w:t>Metadata</w:t>
            </w:r>
          </w:p>
        </w:tc>
      </w:tr>
      <w:tr w:rsidR="007E0A7E" w14:paraId="75BAB8FA" w14:textId="108F3E23" w:rsidTr="00843F0B">
        <w:tc>
          <w:tcPr>
            <w:tcW w:w="2098" w:type="dxa"/>
          </w:tcPr>
          <w:p w14:paraId="7E24E5E6" w14:textId="754D8BC8" w:rsidR="007E0A7E" w:rsidRPr="007E0A7E" w:rsidRDefault="007E0A7E" w:rsidP="00F17228">
            <w:pPr>
              <w:pStyle w:val="Body"/>
              <w:rPr>
                <w:i/>
                <w:iCs/>
                <w:lang w:eastAsia="en-GB"/>
              </w:rPr>
            </w:pPr>
            <w:r w:rsidRPr="007E0A7E">
              <w:rPr>
                <w:i/>
                <w:iCs/>
                <w:lang w:eastAsia="en-GB"/>
              </w:rPr>
              <w:t>Example</w:t>
            </w:r>
            <w:r w:rsidR="005613E9">
              <w:rPr>
                <w:i/>
                <w:iCs/>
                <w:lang w:eastAsia="en-GB"/>
              </w:rPr>
              <w:t>_a</w:t>
            </w:r>
            <w:r w:rsidR="005037F5">
              <w:rPr>
                <w:i/>
                <w:iCs/>
                <w:lang w:eastAsia="en-GB"/>
              </w:rPr>
              <w:t>pplication</w:t>
            </w:r>
          </w:p>
        </w:tc>
        <w:tc>
          <w:tcPr>
            <w:tcW w:w="2052" w:type="dxa"/>
          </w:tcPr>
          <w:p w14:paraId="6894A5FC" w14:textId="3AF87829" w:rsidR="007E0A7E" w:rsidRPr="007E0A7E" w:rsidRDefault="007E0A7E" w:rsidP="00F17228">
            <w:pPr>
              <w:pStyle w:val="Body"/>
              <w:rPr>
                <w:i/>
                <w:iCs/>
                <w:lang w:eastAsia="en-GB"/>
              </w:rPr>
            </w:pPr>
            <w:r w:rsidRPr="007E0A7E">
              <w:rPr>
                <w:i/>
                <w:iCs/>
                <w:lang w:eastAsia="en-GB"/>
              </w:rPr>
              <w:t>2 video decoder</w:t>
            </w:r>
            <w:r w:rsidR="005037F5">
              <w:rPr>
                <w:i/>
                <w:iCs/>
                <w:lang w:eastAsia="en-GB"/>
              </w:rPr>
              <w:t>s</w:t>
            </w:r>
          </w:p>
        </w:tc>
        <w:tc>
          <w:tcPr>
            <w:tcW w:w="1604" w:type="dxa"/>
          </w:tcPr>
          <w:p w14:paraId="7ADDE5E6" w14:textId="732B4370" w:rsidR="007E0A7E" w:rsidRPr="007E0A7E" w:rsidRDefault="007E0A7E" w:rsidP="00F17228">
            <w:pPr>
              <w:pStyle w:val="Body"/>
              <w:rPr>
                <w:i/>
                <w:iCs/>
                <w:lang w:eastAsia="en-GB"/>
              </w:rPr>
            </w:pPr>
            <w:r w:rsidRPr="007E0A7E">
              <w:rPr>
                <w:i/>
                <w:iCs/>
                <w:lang w:eastAsia="en-GB"/>
              </w:rPr>
              <w:t>Pose prediction</w:t>
            </w:r>
          </w:p>
        </w:tc>
        <w:tc>
          <w:tcPr>
            <w:tcW w:w="1839" w:type="dxa"/>
          </w:tcPr>
          <w:p w14:paraId="29B09116" w14:textId="15349BF7" w:rsidR="007E0A7E" w:rsidRPr="007E0A7E" w:rsidRDefault="0083247C" w:rsidP="00F17228">
            <w:pPr>
              <w:pStyle w:val="Body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 xml:space="preserve">Binary representation </w:t>
            </w:r>
            <w:r w:rsidR="00155A6F">
              <w:rPr>
                <w:i/>
                <w:iCs/>
                <w:lang w:eastAsia="en-GB"/>
              </w:rPr>
              <w:t>of xyz</w:t>
            </w:r>
          </w:p>
        </w:tc>
        <w:tc>
          <w:tcPr>
            <w:tcW w:w="1746" w:type="dxa"/>
          </w:tcPr>
          <w:p w14:paraId="624F72CB" w14:textId="1978BB80" w:rsidR="007E0A7E" w:rsidRPr="007E0A7E" w:rsidRDefault="005613E9" w:rsidP="00F17228">
            <w:pPr>
              <w:pStyle w:val="Body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Alpha channel signalling</w:t>
            </w:r>
          </w:p>
        </w:tc>
      </w:tr>
      <w:tr w:rsidR="007E0A7E" w14:paraId="25524D2E" w14:textId="468D4DF5" w:rsidTr="00843F0B">
        <w:tc>
          <w:tcPr>
            <w:tcW w:w="2098" w:type="dxa"/>
          </w:tcPr>
          <w:p w14:paraId="175753AC" w14:textId="77777777" w:rsidR="007E0A7E" w:rsidRDefault="007E0A7E" w:rsidP="00F17228">
            <w:pPr>
              <w:pStyle w:val="Body"/>
              <w:rPr>
                <w:lang w:eastAsia="en-GB"/>
              </w:rPr>
            </w:pPr>
          </w:p>
        </w:tc>
        <w:tc>
          <w:tcPr>
            <w:tcW w:w="2052" w:type="dxa"/>
          </w:tcPr>
          <w:p w14:paraId="0C31A2E9" w14:textId="77777777" w:rsidR="007E0A7E" w:rsidRDefault="007E0A7E" w:rsidP="00F17228">
            <w:pPr>
              <w:pStyle w:val="Body"/>
              <w:rPr>
                <w:lang w:eastAsia="en-GB"/>
              </w:rPr>
            </w:pPr>
          </w:p>
        </w:tc>
        <w:tc>
          <w:tcPr>
            <w:tcW w:w="1604" w:type="dxa"/>
          </w:tcPr>
          <w:p w14:paraId="3DB8F783" w14:textId="77777777" w:rsidR="007E0A7E" w:rsidRDefault="007E0A7E" w:rsidP="00F17228">
            <w:pPr>
              <w:pStyle w:val="Body"/>
              <w:rPr>
                <w:lang w:eastAsia="en-GB"/>
              </w:rPr>
            </w:pPr>
          </w:p>
        </w:tc>
        <w:tc>
          <w:tcPr>
            <w:tcW w:w="1839" w:type="dxa"/>
          </w:tcPr>
          <w:p w14:paraId="67438BAD" w14:textId="20D8F197" w:rsidR="007E0A7E" w:rsidRDefault="007E0A7E" w:rsidP="00F17228">
            <w:pPr>
              <w:pStyle w:val="Body"/>
              <w:rPr>
                <w:lang w:eastAsia="en-GB"/>
              </w:rPr>
            </w:pPr>
          </w:p>
        </w:tc>
        <w:tc>
          <w:tcPr>
            <w:tcW w:w="1746" w:type="dxa"/>
          </w:tcPr>
          <w:p w14:paraId="35F49323" w14:textId="77777777" w:rsidR="007E0A7E" w:rsidRDefault="007E0A7E" w:rsidP="00F17228">
            <w:pPr>
              <w:pStyle w:val="Body"/>
              <w:rPr>
                <w:lang w:eastAsia="en-GB"/>
              </w:rPr>
            </w:pPr>
          </w:p>
        </w:tc>
      </w:tr>
    </w:tbl>
    <w:p w14:paraId="612F366C" w14:textId="77777777" w:rsidR="00AC0368" w:rsidRDefault="00AC0368" w:rsidP="00AC0368">
      <w:pPr>
        <w:rPr>
          <w:szCs w:val="22"/>
          <w:lang w:eastAsia="en-GB"/>
        </w:rPr>
      </w:pPr>
    </w:p>
    <w:p w14:paraId="116DF3CF" w14:textId="5065A42B" w:rsidR="00515AC5" w:rsidRDefault="00515AC5" w:rsidP="00E872CE">
      <w:pPr>
        <w:pStyle w:val="Body"/>
        <w:rPr>
          <w:lang w:eastAsia="en-GB"/>
        </w:rPr>
      </w:pPr>
      <w:r>
        <w:rPr>
          <w:lang w:eastAsia="en-GB"/>
        </w:rPr>
        <w:t xml:space="preserve">One of the benefits of defining those </w:t>
      </w:r>
      <w:r w:rsidR="00E872CE">
        <w:rPr>
          <w:lang w:eastAsia="en-GB"/>
        </w:rPr>
        <w:t xml:space="preserve">media capabilities, formats and metadata in an application-agnostic way is that some applications may partially share the same requirements. </w:t>
      </w:r>
      <w:r w:rsidR="003B0A6A">
        <w:rPr>
          <w:lang w:eastAsia="en-GB"/>
        </w:rPr>
        <w:t xml:space="preserve">At the end of the standardisation process, a single AR device category may thus enable several applications as illustrated in </w:t>
      </w:r>
      <w:r w:rsidR="003B0A6A">
        <w:rPr>
          <w:lang w:eastAsia="en-GB"/>
        </w:rPr>
        <w:fldChar w:fldCharType="begin"/>
      </w:r>
      <w:r w:rsidR="003B0A6A">
        <w:rPr>
          <w:lang w:eastAsia="en-GB"/>
        </w:rPr>
        <w:instrText xml:space="preserve"> REF _Ref135145440 \h </w:instrText>
      </w:r>
      <w:r w:rsidR="003B0A6A">
        <w:rPr>
          <w:lang w:eastAsia="en-GB"/>
        </w:rPr>
      </w:r>
      <w:r w:rsidR="003B0A6A">
        <w:rPr>
          <w:lang w:eastAsia="en-GB"/>
        </w:rPr>
        <w:fldChar w:fldCharType="separate"/>
      </w:r>
      <w:r w:rsidR="003B0A6A">
        <w:t xml:space="preserve">Figure </w:t>
      </w:r>
      <w:r w:rsidR="003B0A6A">
        <w:rPr>
          <w:noProof/>
        </w:rPr>
        <w:t>3</w:t>
      </w:r>
      <w:r w:rsidR="003B0A6A">
        <w:rPr>
          <w:lang w:eastAsia="en-GB"/>
        </w:rPr>
        <w:fldChar w:fldCharType="end"/>
      </w:r>
      <w:r w:rsidR="003B0A6A">
        <w:rPr>
          <w:lang w:eastAsia="en-GB"/>
        </w:rPr>
        <w:t>.</w:t>
      </w:r>
    </w:p>
    <w:p w14:paraId="2B7633E9" w14:textId="77777777" w:rsidR="003B0A6A" w:rsidRDefault="003B0A6A" w:rsidP="003B0A6A">
      <w:pPr>
        <w:pStyle w:val="Body"/>
        <w:keepNext/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74D53CB1" wp14:editId="7DFBB09F">
            <wp:extent cx="5255570" cy="4203700"/>
            <wp:effectExtent l="0" t="0" r="0" b="6350"/>
            <wp:docPr id="11341671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313" cy="4205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20C06C" w14:textId="76CF9FD5" w:rsidR="003B0A6A" w:rsidRDefault="003B0A6A" w:rsidP="003B0A6A">
      <w:pPr>
        <w:pStyle w:val="Caption"/>
        <w:jc w:val="center"/>
        <w:rPr>
          <w:noProof/>
        </w:rPr>
      </w:pPr>
      <w:bookmarkStart w:id="2" w:name="_Ref1351454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- AR devices and applications</w:t>
      </w:r>
      <w:r>
        <w:rPr>
          <w:noProof/>
        </w:rPr>
        <w:t xml:space="preserve"> relationship</w:t>
      </w:r>
    </w:p>
    <w:p w14:paraId="2055EE89" w14:textId="0E5FC9B8" w:rsidR="00843F0B" w:rsidRDefault="00314A17" w:rsidP="00314A17">
      <w:pPr>
        <w:pStyle w:val="Body"/>
      </w:pPr>
      <w:r>
        <w:t xml:space="preserve">In summary, proposing technologies for the MeCAR specification </w:t>
      </w:r>
      <w:r w:rsidR="00490909">
        <w:t>would follow</w:t>
      </w:r>
      <w:r>
        <w:t xml:space="preserve"> the steps</w:t>
      </w:r>
      <w:r w:rsidR="00490909">
        <w:t xml:space="preserve"> below</w:t>
      </w:r>
      <w:r>
        <w:t>:</w:t>
      </w:r>
    </w:p>
    <w:p w14:paraId="7C2B24E1" w14:textId="38E9D371" w:rsidR="00314A17" w:rsidRPr="00D456A8" w:rsidRDefault="00314A17" w:rsidP="00314A17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D456A8">
        <w:rPr>
          <w:sz w:val="22"/>
          <w:szCs w:val="22"/>
        </w:rPr>
        <w:t>Describ</w:t>
      </w:r>
      <w:r w:rsidR="00D8137E">
        <w:rPr>
          <w:sz w:val="22"/>
          <w:szCs w:val="22"/>
        </w:rPr>
        <w:t>ing</w:t>
      </w:r>
      <w:r w:rsidRPr="00D456A8">
        <w:rPr>
          <w:sz w:val="22"/>
          <w:szCs w:val="22"/>
        </w:rPr>
        <w:t xml:space="preserve"> the application or hardware constraints motivating the proposed technologies</w:t>
      </w:r>
    </w:p>
    <w:p w14:paraId="073A629C" w14:textId="6E534CB6" w:rsidR="00490909" w:rsidRPr="00543EE5" w:rsidRDefault="00543EE5" w:rsidP="00543EE5">
      <w:pPr>
        <w:pStyle w:val="Body"/>
        <w:spacing w:before="120"/>
        <w:rPr>
          <w:i/>
          <w:iCs/>
        </w:rPr>
      </w:pPr>
      <w:r w:rsidRPr="00543EE5">
        <w:rPr>
          <w:i/>
          <w:iCs/>
        </w:rPr>
        <w:t>Note that any application</w:t>
      </w:r>
      <w:r>
        <w:rPr>
          <w:i/>
          <w:iCs/>
        </w:rPr>
        <w:t xml:space="preserve"> and</w:t>
      </w:r>
      <w:r w:rsidRPr="00543EE5">
        <w:rPr>
          <w:i/>
          <w:iCs/>
        </w:rPr>
        <w:t xml:space="preserve"> service specific details may be useful for understanding the motivation</w:t>
      </w:r>
      <w:r>
        <w:rPr>
          <w:i/>
          <w:iCs/>
        </w:rPr>
        <w:t>. However,</w:t>
      </w:r>
      <w:r w:rsidRPr="00543EE5">
        <w:rPr>
          <w:i/>
          <w:iCs/>
        </w:rPr>
        <w:t xml:space="preserve"> this would not </w:t>
      </w:r>
      <w:r>
        <w:rPr>
          <w:i/>
          <w:iCs/>
        </w:rPr>
        <w:t xml:space="preserve">belong to </w:t>
      </w:r>
      <w:r w:rsidRPr="00543EE5">
        <w:rPr>
          <w:i/>
          <w:iCs/>
        </w:rPr>
        <w:t xml:space="preserve">TS 26.119 but rather </w:t>
      </w:r>
      <w:r>
        <w:rPr>
          <w:i/>
          <w:iCs/>
        </w:rPr>
        <w:t>to</w:t>
      </w:r>
      <w:r w:rsidRPr="00543EE5">
        <w:rPr>
          <w:i/>
          <w:iCs/>
        </w:rPr>
        <w:t xml:space="preserve"> external specification</w:t>
      </w:r>
      <w:r>
        <w:rPr>
          <w:i/>
          <w:iCs/>
        </w:rPr>
        <w:t>s</w:t>
      </w:r>
      <w:r w:rsidR="0038221E">
        <w:rPr>
          <w:i/>
          <w:iCs/>
        </w:rPr>
        <w:t xml:space="preserve"> such as </w:t>
      </w:r>
      <w:r w:rsidR="00247930">
        <w:rPr>
          <w:i/>
          <w:iCs/>
        </w:rPr>
        <w:t>TS 26.565</w:t>
      </w:r>
      <w:r w:rsidRPr="00543EE5">
        <w:rPr>
          <w:i/>
          <w:iCs/>
        </w:rPr>
        <w:t>.</w:t>
      </w:r>
    </w:p>
    <w:p w14:paraId="5715D042" w14:textId="2F3BD235" w:rsidR="00314A17" w:rsidRPr="00D456A8" w:rsidRDefault="00C525BD" w:rsidP="00314A17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D456A8">
        <w:rPr>
          <w:sz w:val="22"/>
          <w:szCs w:val="22"/>
        </w:rPr>
        <w:t>From the motivation</w:t>
      </w:r>
      <w:r w:rsidR="004B66BD" w:rsidRPr="00D456A8">
        <w:rPr>
          <w:sz w:val="22"/>
          <w:szCs w:val="22"/>
        </w:rPr>
        <w:t xml:space="preserve"> in 1)</w:t>
      </w:r>
      <w:r w:rsidRPr="00D456A8">
        <w:rPr>
          <w:sz w:val="22"/>
          <w:szCs w:val="22"/>
        </w:rPr>
        <w:t>, only provid</w:t>
      </w:r>
      <w:r w:rsidR="00D8137E">
        <w:rPr>
          <w:sz w:val="22"/>
          <w:szCs w:val="22"/>
        </w:rPr>
        <w:t>ing</w:t>
      </w:r>
      <w:r w:rsidRPr="00D456A8">
        <w:rPr>
          <w:sz w:val="22"/>
          <w:szCs w:val="22"/>
        </w:rPr>
        <w:t xml:space="preserve"> the following elements</w:t>
      </w:r>
      <w:r w:rsidR="004B66BD" w:rsidRPr="00D456A8">
        <w:rPr>
          <w:sz w:val="22"/>
          <w:szCs w:val="22"/>
        </w:rPr>
        <w:t xml:space="preserve"> needed to support/enable 1):</w:t>
      </w:r>
    </w:p>
    <w:p w14:paraId="2F9E6627" w14:textId="34849795" w:rsidR="004B66BD" w:rsidRPr="00D456A8" w:rsidRDefault="004B66BD" w:rsidP="004B66BD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D456A8">
        <w:rPr>
          <w:sz w:val="22"/>
          <w:szCs w:val="22"/>
        </w:rPr>
        <w:t>Media capabilities</w:t>
      </w:r>
      <w:r w:rsidR="006632DE" w:rsidRPr="00D456A8">
        <w:rPr>
          <w:sz w:val="22"/>
          <w:szCs w:val="22"/>
        </w:rPr>
        <w:t xml:space="preserve"> (see Clause 7 and 8 of TS 26.119)</w:t>
      </w:r>
    </w:p>
    <w:p w14:paraId="70332E39" w14:textId="6D40AD78" w:rsidR="004B66BD" w:rsidRPr="00D456A8" w:rsidRDefault="004B66BD" w:rsidP="004B66BD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D456A8">
        <w:rPr>
          <w:sz w:val="22"/>
          <w:szCs w:val="22"/>
        </w:rPr>
        <w:t>Format</w:t>
      </w:r>
      <w:r w:rsidR="006632DE" w:rsidRPr="00D456A8">
        <w:rPr>
          <w:sz w:val="22"/>
          <w:szCs w:val="22"/>
        </w:rPr>
        <w:t xml:space="preserve"> </w:t>
      </w:r>
      <w:r w:rsidR="00B27A4E" w:rsidRPr="00D456A8">
        <w:rPr>
          <w:sz w:val="22"/>
          <w:szCs w:val="22"/>
        </w:rPr>
        <w:t>(see Clause 6)</w:t>
      </w:r>
    </w:p>
    <w:p w14:paraId="1E398D0A" w14:textId="1B6D43FC" w:rsidR="004B66BD" w:rsidRPr="00D456A8" w:rsidRDefault="004B66BD" w:rsidP="004B66BD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D456A8">
        <w:rPr>
          <w:sz w:val="22"/>
          <w:szCs w:val="22"/>
        </w:rPr>
        <w:t>Metadata</w:t>
      </w:r>
      <w:r w:rsidR="00B27A4E" w:rsidRPr="00D456A8">
        <w:rPr>
          <w:sz w:val="22"/>
          <w:szCs w:val="22"/>
        </w:rPr>
        <w:t xml:space="preserve"> (see Clause 6)</w:t>
      </w:r>
    </w:p>
    <w:p w14:paraId="65B631BD" w14:textId="77777777" w:rsidR="00490909" w:rsidRPr="00843F0B" w:rsidRDefault="00490909" w:rsidP="00490909"/>
    <w:p w14:paraId="6C65AF89" w14:textId="2C71FFBD" w:rsidR="00D85FDE" w:rsidRDefault="00D85FDE" w:rsidP="00D85FDE">
      <w:pPr>
        <w:pStyle w:val="Heading1"/>
        <w:tabs>
          <w:tab w:val="left" w:pos="2410"/>
        </w:tabs>
      </w:pPr>
      <w:r>
        <w:t>3</w:t>
      </w:r>
      <w:r>
        <w:tab/>
        <w:t>References</w:t>
      </w:r>
    </w:p>
    <w:p w14:paraId="62591617" w14:textId="52E62DF0" w:rsidR="00D85FDE" w:rsidRPr="000119FC" w:rsidRDefault="00D85FDE" w:rsidP="0058773B">
      <w:pPr>
        <w:pStyle w:val="ListParagraph"/>
        <w:numPr>
          <w:ilvl w:val="0"/>
          <w:numId w:val="9"/>
        </w:numPr>
        <w:rPr>
          <w:sz w:val="22"/>
          <w:szCs w:val="22"/>
          <w:lang w:eastAsia="en-GB"/>
        </w:rPr>
      </w:pPr>
      <w:bookmarkStart w:id="3" w:name="_Ref135141324"/>
      <w:r w:rsidRPr="000119FC">
        <w:rPr>
          <w:sz w:val="22"/>
          <w:szCs w:val="22"/>
          <w:lang w:eastAsia="en-GB"/>
        </w:rPr>
        <w:t>3GPP TSG SA#95-e</w:t>
      </w:r>
      <w:r w:rsidR="001C2269" w:rsidRPr="000119FC">
        <w:rPr>
          <w:sz w:val="22"/>
          <w:szCs w:val="22"/>
          <w:lang w:eastAsia="en-GB"/>
        </w:rPr>
        <w:t xml:space="preserve">, “Media Capabilities for Augmented Reality”, </w:t>
      </w:r>
      <w:r w:rsidRPr="000119FC">
        <w:rPr>
          <w:sz w:val="22"/>
          <w:szCs w:val="22"/>
          <w:lang w:eastAsia="en-GB"/>
        </w:rPr>
        <w:t>SP-220242, Electronic Meeting, 15th – 24</w:t>
      </w:r>
      <w:r w:rsidR="00D456A8" w:rsidRPr="000119FC">
        <w:rPr>
          <w:sz w:val="22"/>
          <w:szCs w:val="22"/>
          <w:lang w:eastAsia="en-GB"/>
        </w:rPr>
        <w:t>th</w:t>
      </w:r>
      <w:r w:rsidRPr="000119FC">
        <w:rPr>
          <w:sz w:val="22"/>
          <w:szCs w:val="22"/>
          <w:lang w:eastAsia="en-GB"/>
        </w:rPr>
        <w:t xml:space="preserve"> March 2022 (WG Tdoc. No: S4-220332)</w:t>
      </w:r>
      <w:bookmarkEnd w:id="3"/>
    </w:p>
    <w:sectPr w:rsidR="00D85FDE" w:rsidRPr="000119FC" w:rsidSect="007F7E2F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2F827" w14:textId="77777777" w:rsidR="008B03EF" w:rsidRDefault="008B03EF">
      <w:r>
        <w:separator/>
      </w:r>
    </w:p>
  </w:endnote>
  <w:endnote w:type="continuationSeparator" w:id="0">
    <w:p w14:paraId="7BB62B55" w14:textId="77777777" w:rsidR="008B03EF" w:rsidRDefault="008B03EF">
      <w:r>
        <w:continuationSeparator/>
      </w:r>
    </w:p>
  </w:endnote>
  <w:endnote w:type="continuationNotice" w:id="1">
    <w:p w14:paraId="783EC5EE" w14:textId="77777777" w:rsidR="008B03EF" w:rsidRDefault="008B03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6FC9" w14:textId="77777777" w:rsidR="008B03EF" w:rsidRDefault="008B03EF">
      <w:r>
        <w:separator/>
      </w:r>
    </w:p>
  </w:footnote>
  <w:footnote w:type="continuationSeparator" w:id="0">
    <w:p w14:paraId="415DAF64" w14:textId="77777777" w:rsidR="008B03EF" w:rsidRDefault="008B03EF">
      <w:r>
        <w:continuationSeparator/>
      </w:r>
    </w:p>
  </w:footnote>
  <w:footnote w:type="continuationNotice" w:id="1">
    <w:p w14:paraId="24F759CF" w14:textId="77777777" w:rsidR="008B03EF" w:rsidRDefault="008B03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37803170" w:rsidR="00ED0981" w:rsidRPr="0084724A" w:rsidRDefault="00C036C8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124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A315C9" w:rsidRPr="00A315C9">
      <w:rPr>
        <w:rFonts w:cs="Arial"/>
        <w:b/>
        <w:i/>
        <w:sz w:val="28"/>
        <w:szCs w:val="28"/>
      </w:rPr>
      <w:t>230923</w:t>
    </w:r>
  </w:p>
  <w:p w14:paraId="641F0A71" w14:textId="5019C839" w:rsidR="00ED0981" w:rsidRPr="0084724A" w:rsidRDefault="00600074" w:rsidP="00600074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Berlin, Germany</w:t>
    </w:r>
    <w:r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22</w:t>
    </w:r>
    <w:r w:rsidRPr="004E7364">
      <w:rPr>
        <w:rFonts w:cs="Arial"/>
        <w:vertAlign w:val="superscript"/>
        <w:lang w:eastAsia="zh-CN"/>
      </w:rPr>
      <w:t>nd</w:t>
    </w:r>
    <w:r>
      <w:rPr>
        <w:rFonts w:cs="Arial"/>
        <w:lang w:eastAsia="zh-CN"/>
      </w:rPr>
      <w:t>– 26</w:t>
    </w:r>
    <w:r w:rsidRPr="004E7364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  <w:r w:rsidR="00286A7C">
      <w:rPr>
        <w:rFonts w:cs="Arial"/>
        <w:lang w:eastAsia="zh-CN"/>
      </w:rPr>
      <w:tab/>
      <w:t>revision of 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95A77"/>
    <w:multiLevelType w:val="hybridMultilevel"/>
    <w:tmpl w:val="A8C64864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1DD7C3C"/>
    <w:multiLevelType w:val="hybridMultilevel"/>
    <w:tmpl w:val="755260B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BA"/>
    <w:multiLevelType w:val="hybridMultilevel"/>
    <w:tmpl w:val="3838217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0"/>
  </w:num>
  <w:num w:numId="3" w16cid:durableId="409429099">
    <w:abstractNumId w:val="2"/>
  </w:num>
  <w:num w:numId="4" w16cid:durableId="2011760548">
    <w:abstractNumId w:val="5"/>
  </w:num>
  <w:num w:numId="5" w16cid:durableId="1185099933">
    <w:abstractNumId w:val="8"/>
  </w:num>
  <w:num w:numId="6" w16cid:durableId="2125691376">
    <w:abstractNumId w:val="9"/>
  </w:num>
  <w:num w:numId="7" w16cid:durableId="1790123087">
    <w:abstractNumId w:val="3"/>
  </w:num>
  <w:num w:numId="8" w16cid:durableId="425274739">
    <w:abstractNumId w:val="7"/>
  </w:num>
  <w:num w:numId="9" w16cid:durableId="1158616386">
    <w:abstractNumId w:val="6"/>
  </w:num>
  <w:num w:numId="10" w16cid:durableId="754670514">
    <w:abstractNumId w:val="1"/>
  </w:num>
  <w:num w:numId="11" w16cid:durableId="25791423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418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9FC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49C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30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656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6A6E"/>
    <w:rsid w:val="00097C73"/>
    <w:rsid w:val="00097D85"/>
    <w:rsid w:val="000A04FC"/>
    <w:rsid w:val="000A0A60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171E6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6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6951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5A41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55F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269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1F21"/>
    <w:rsid w:val="001E20BF"/>
    <w:rsid w:val="001E2662"/>
    <w:rsid w:val="001E2E0B"/>
    <w:rsid w:val="001E373B"/>
    <w:rsid w:val="001E3D0E"/>
    <w:rsid w:val="001E3E82"/>
    <w:rsid w:val="001E4AB4"/>
    <w:rsid w:val="001E6701"/>
    <w:rsid w:val="001E78A3"/>
    <w:rsid w:val="001E78D9"/>
    <w:rsid w:val="001F05D8"/>
    <w:rsid w:val="001F2B59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82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930"/>
    <w:rsid w:val="00247EF3"/>
    <w:rsid w:val="00250051"/>
    <w:rsid w:val="0025027C"/>
    <w:rsid w:val="002508B4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5A93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6A7C"/>
    <w:rsid w:val="002876FB"/>
    <w:rsid w:val="0028783C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9CE"/>
    <w:rsid w:val="002A2C9E"/>
    <w:rsid w:val="002A2E8E"/>
    <w:rsid w:val="002A35AB"/>
    <w:rsid w:val="002A3C5A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6D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D6F80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A17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56DE"/>
    <w:rsid w:val="00366958"/>
    <w:rsid w:val="00366BB9"/>
    <w:rsid w:val="00366DAB"/>
    <w:rsid w:val="003676E2"/>
    <w:rsid w:val="00370271"/>
    <w:rsid w:val="003708AE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77EE8"/>
    <w:rsid w:val="0038002B"/>
    <w:rsid w:val="00380315"/>
    <w:rsid w:val="003811AC"/>
    <w:rsid w:val="0038221E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A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E1A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909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D35"/>
    <w:rsid w:val="004B2057"/>
    <w:rsid w:val="004B5B57"/>
    <w:rsid w:val="004B66BD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7F5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AC5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EE5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13E9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471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2D7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0B6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A06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074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4B03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89D"/>
    <w:rsid w:val="00643DD0"/>
    <w:rsid w:val="00644B1E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32DE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885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6CB9"/>
    <w:rsid w:val="00777D0E"/>
    <w:rsid w:val="00780124"/>
    <w:rsid w:val="00781050"/>
    <w:rsid w:val="00781C56"/>
    <w:rsid w:val="00781D68"/>
    <w:rsid w:val="00782992"/>
    <w:rsid w:val="00782C2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0EA8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A7E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247C"/>
    <w:rsid w:val="008351FC"/>
    <w:rsid w:val="00835443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3F0B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0E5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55"/>
    <w:rsid w:val="0086067C"/>
    <w:rsid w:val="00860BD1"/>
    <w:rsid w:val="00860E3E"/>
    <w:rsid w:val="00861C54"/>
    <w:rsid w:val="00861DAF"/>
    <w:rsid w:val="00862C35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36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3EF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4D34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143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0A"/>
    <w:rsid w:val="009A426C"/>
    <w:rsid w:val="009A455E"/>
    <w:rsid w:val="009A5144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8EF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5C9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6909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756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2D4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368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077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4CB4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27A4E"/>
    <w:rsid w:val="00B311D3"/>
    <w:rsid w:val="00B3167D"/>
    <w:rsid w:val="00B32A6F"/>
    <w:rsid w:val="00B33B83"/>
    <w:rsid w:val="00B34596"/>
    <w:rsid w:val="00B34708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5860"/>
    <w:rsid w:val="00B46974"/>
    <w:rsid w:val="00B501D2"/>
    <w:rsid w:val="00B50461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57BA2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17AC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36C8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C88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5BD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0D45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A8E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A34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DDB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6A8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993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48B5"/>
    <w:rsid w:val="00D750F4"/>
    <w:rsid w:val="00D75948"/>
    <w:rsid w:val="00D75C2F"/>
    <w:rsid w:val="00D75EE5"/>
    <w:rsid w:val="00D76A4C"/>
    <w:rsid w:val="00D76F86"/>
    <w:rsid w:val="00D77689"/>
    <w:rsid w:val="00D8137E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5FDE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1D7"/>
    <w:rsid w:val="00DD13A8"/>
    <w:rsid w:val="00DD17C5"/>
    <w:rsid w:val="00DD213E"/>
    <w:rsid w:val="00DD2210"/>
    <w:rsid w:val="00DD2717"/>
    <w:rsid w:val="00DD2CB4"/>
    <w:rsid w:val="00DD2CB7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8C9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D60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9F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872CE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3C79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228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AE9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09A8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52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53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EEF"/>
    <w:rsid w:val="00FF7454"/>
    <w:rsid w:val="00FF76E3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qFormat/>
    <w:rsid w:val="002D6F80"/>
    <w:rPr>
      <w:rFonts w:ascii="Times New Roman" w:hAnsi="Times New Roman"/>
    </w:rPr>
  </w:style>
  <w:style w:type="paragraph" w:styleId="Caption">
    <w:name w:val="caption"/>
    <w:basedOn w:val="Normal"/>
    <w:next w:val="Normal"/>
    <w:unhideWhenUsed/>
    <w:qFormat/>
    <w:rsid w:val="00850E53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BodyChar">
    <w:name w:val="Body Char"/>
    <w:basedOn w:val="DefaultParagraphFont"/>
    <w:link w:val="Body"/>
    <w:rsid w:val="002D6F80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122</cp:revision>
  <cp:lastPrinted>2016-05-03T09:51:00Z</cp:lastPrinted>
  <dcterms:created xsi:type="dcterms:W3CDTF">2022-05-03T14:59:00Z</dcterms:created>
  <dcterms:modified xsi:type="dcterms:W3CDTF">2023-05-16T20:07:00Z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