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6828A5B5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885006">
        <w:rPr>
          <w:rFonts w:cs="Arial"/>
          <w:sz w:val="28"/>
          <w:szCs w:val="28"/>
          <w:lang w:val="en-US"/>
        </w:rPr>
        <w:t>3-e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S4-230</w:t>
      </w:r>
      <w:r w:rsidR="00885006">
        <w:rPr>
          <w:rFonts w:cs="Arial"/>
          <w:b/>
          <w:i/>
          <w:sz w:val="28"/>
          <w:szCs w:val="28"/>
        </w:rPr>
        <w:t>728</w:t>
      </w:r>
    </w:p>
    <w:p w14:paraId="7A48C037" w14:textId="02D3B337" w:rsidR="00463E93" w:rsidRPr="009C3571" w:rsidRDefault="00885006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Online, 17</w:t>
      </w:r>
      <w:r w:rsidR="009C3571" w:rsidRPr="009C3571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– 2</w:t>
      </w:r>
      <w:r>
        <w:rPr>
          <w:rFonts w:cs="Arial"/>
          <w:sz w:val="28"/>
          <w:szCs w:val="28"/>
        </w:rPr>
        <w:t>1</w:t>
      </w:r>
      <w:r>
        <w:rPr>
          <w:rFonts w:cs="Arial"/>
          <w:sz w:val="28"/>
          <w:szCs w:val="28"/>
          <w:vertAlign w:val="superscript"/>
        </w:rPr>
        <w:t>st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April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28CB885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</w:t>
      </w:r>
      <w:r w:rsidR="00EA178C">
        <w:rPr>
          <w:rFonts w:ascii="Arial" w:hAnsi="Arial" w:cs="Arial"/>
          <w:sz w:val="24"/>
          <w:szCs w:val="24"/>
          <w:lang w:val="pt-BR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1F854A6A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885006">
        <w:rPr>
          <w:rFonts w:ascii="Arial" w:hAnsi="Arial" w:cs="Arial"/>
          <w:sz w:val="24"/>
          <w:szCs w:val="24"/>
        </w:rPr>
        <w:t>4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profiles for edge, QoS allocation, and network assistance functionality for the split rendering Media Service Enabler (based on 5G_AREA, and iRTCW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select and profile the media formats and the corresponding media transport protocols for split rendering (based on MeCAR)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define edge requirements, such as the EAS profiles, as well as edge discovery and relocation configurations appropriate for split rendering</w:t>
      </w:r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(i.e. session setup, Edge discovery, QoS, QoE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provide guidelines on how to decide on rendering split between split rendering server and UE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typical use cases for split rendering</w:t>
            </w:r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use cases in MeCAR, iRTCW,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proposals on reference architecture and call flows for split rendering</w:t>
            </w:r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reference architecture</w:t>
            </w:r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call flows for split rendering</w:t>
            </w:r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proposals on procedures for split rendering</w:t>
            </w:r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prerequisites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</w:t>
            </w:r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</w:t>
            </w:r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, including the description format</w:t>
            </w:r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use cases in MeCAR, iRTCW,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procedures on split rendering</w:t>
            </w:r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prerequisites for split rendering</w:t>
            </w:r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Identify additional split rendering profiles</w:t>
            </w:r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SR-1, SR-3, and SR-5 procedures for split rendering</w:t>
            </w:r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3C6C0B8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1B810634" w:rsidR="00571DD1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SA#101 (11 – 15 September 2023, India)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6D486A69" w:rsidR="00571DD1" w:rsidRPr="001F758F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 26.565 to SA for information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679A5" w14:textId="0E27415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</w:p>
          <w:p w14:paraId="67085B38" w14:textId="4F0ADF9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</w:p>
        </w:tc>
      </w:tr>
      <w:tr w:rsidR="000E10E3" w:rsidRPr="00576392" w14:paraId="4FAED2D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F668" w14:textId="6125F7E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AC59" w14:textId="77777777" w:rsidR="00F60B4C" w:rsidRDefault="00F60B4C" w:rsidP="00625305">
      <w:r>
        <w:separator/>
      </w:r>
    </w:p>
  </w:endnote>
  <w:endnote w:type="continuationSeparator" w:id="0">
    <w:p w14:paraId="2B0B8342" w14:textId="77777777" w:rsidR="00F60B4C" w:rsidRDefault="00F60B4C" w:rsidP="00625305">
      <w:r>
        <w:continuationSeparator/>
      </w:r>
    </w:p>
  </w:endnote>
  <w:endnote w:type="continuationNotice" w:id="1">
    <w:p w14:paraId="57DF6566" w14:textId="77777777" w:rsidR="00F60B4C" w:rsidRDefault="00F60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7C26" w14:textId="77777777" w:rsidR="00F60B4C" w:rsidRDefault="00F60B4C" w:rsidP="00625305">
      <w:r>
        <w:separator/>
      </w:r>
    </w:p>
  </w:footnote>
  <w:footnote w:type="continuationSeparator" w:id="0">
    <w:p w14:paraId="75925D21" w14:textId="77777777" w:rsidR="00F60B4C" w:rsidRDefault="00F60B4C" w:rsidP="00625305">
      <w:r>
        <w:continuationSeparator/>
      </w:r>
    </w:p>
  </w:footnote>
  <w:footnote w:type="continuationNotice" w:id="1">
    <w:p w14:paraId="5B41822C" w14:textId="77777777" w:rsidR="00F60B4C" w:rsidRDefault="00F60B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2023-04-21T00:24:00Z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