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A608F" w14:textId="77777777" w:rsidR="00A521A9" w:rsidRDefault="00A521A9" w:rsidP="00A521A9">
      <w:pPr>
        <w:tabs>
          <w:tab w:val="left" w:pos="2127"/>
        </w:tabs>
        <w:spacing w:after="60"/>
        <w:ind w:left="0" w:hanging="2"/>
        <w:rPr>
          <w:sz w:val="22"/>
          <w:szCs w:val="22"/>
        </w:rPr>
      </w:pPr>
      <w:r>
        <w:rPr>
          <w:b/>
          <w:sz w:val="22"/>
          <w:szCs w:val="22"/>
        </w:rPr>
        <w:t>Source:</w:t>
      </w:r>
      <w:r>
        <w:rPr>
          <w:b/>
          <w:sz w:val="22"/>
          <w:szCs w:val="22"/>
        </w:rPr>
        <w:tab/>
        <w:t>Intel</w:t>
      </w:r>
    </w:p>
    <w:p w14:paraId="6B37017F" w14:textId="77777777" w:rsidR="00A521A9" w:rsidRDefault="00A521A9" w:rsidP="00A521A9">
      <w:pPr>
        <w:tabs>
          <w:tab w:val="left" w:pos="2127"/>
        </w:tabs>
        <w:spacing w:after="60"/>
        <w:ind w:left="0" w:hanging="2"/>
        <w:rPr>
          <w:sz w:val="22"/>
          <w:szCs w:val="22"/>
        </w:rPr>
      </w:pPr>
      <w:r>
        <w:rPr>
          <w:b/>
          <w:sz w:val="22"/>
          <w:szCs w:val="22"/>
        </w:rPr>
        <w:t>Title:</w:t>
      </w:r>
      <w:r>
        <w:rPr>
          <w:b/>
          <w:sz w:val="22"/>
          <w:szCs w:val="22"/>
        </w:rPr>
        <w:tab/>
        <w:t>use case of Multiple Video Sources in iRTC Client</w:t>
      </w:r>
    </w:p>
    <w:p w14:paraId="38416424" w14:textId="77777777" w:rsidR="00A521A9" w:rsidRDefault="00A521A9" w:rsidP="00A521A9">
      <w:pPr>
        <w:tabs>
          <w:tab w:val="left" w:pos="2127"/>
        </w:tabs>
        <w:spacing w:after="60"/>
        <w:ind w:left="0" w:hanging="2"/>
        <w:rPr>
          <w:b/>
          <w:sz w:val="22"/>
          <w:szCs w:val="22"/>
        </w:rPr>
      </w:pPr>
      <w:r>
        <w:rPr>
          <w:b/>
          <w:sz w:val="22"/>
          <w:szCs w:val="22"/>
        </w:rPr>
        <w:t>Agenda Item:</w:t>
      </w:r>
      <w:r>
        <w:rPr>
          <w:b/>
          <w:sz w:val="22"/>
          <w:szCs w:val="22"/>
        </w:rPr>
        <w:tab/>
        <w:t>10.5</w:t>
      </w:r>
    </w:p>
    <w:p w14:paraId="3FAB8E6C" w14:textId="77777777" w:rsidR="00A521A9" w:rsidRDefault="00A521A9" w:rsidP="00A521A9">
      <w:pPr>
        <w:tabs>
          <w:tab w:val="left" w:pos="2127"/>
        </w:tabs>
        <w:spacing w:after="60"/>
        <w:ind w:left="0" w:hanging="2"/>
        <w:rPr>
          <w:b/>
          <w:sz w:val="22"/>
          <w:szCs w:val="22"/>
        </w:rPr>
      </w:pPr>
      <w:r>
        <w:rPr>
          <w:b/>
          <w:sz w:val="22"/>
          <w:szCs w:val="22"/>
        </w:rPr>
        <w:t>Document for:</w:t>
      </w:r>
      <w:r>
        <w:rPr>
          <w:b/>
          <w:sz w:val="22"/>
          <w:szCs w:val="22"/>
        </w:rPr>
        <w:tab/>
        <w:t>Discussion and Agreement</w:t>
      </w:r>
    </w:p>
    <w:p w14:paraId="33839ACE" w14:textId="77777777" w:rsidR="00A521A9" w:rsidRDefault="00A521A9" w:rsidP="00A521A9">
      <w:pPr>
        <w:pBdr>
          <w:top w:val="single" w:sz="12" w:space="1" w:color="000000"/>
        </w:pBdr>
        <w:ind w:left="0" w:hanging="2"/>
      </w:pPr>
    </w:p>
    <w:p w14:paraId="5AD694F2" w14:textId="77777777" w:rsidR="00A521A9" w:rsidRPr="00AB1C1C" w:rsidRDefault="00A521A9" w:rsidP="00A521A9">
      <w:pPr>
        <w:pStyle w:val="ListParagraph"/>
        <w:keepNext/>
        <w:numPr>
          <w:ilvl w:val="0"/>
          <w:numId w:val="1"/>
        </w:numPr>
        <w:pBdr>
          <w:top w:val="nil"/>
          <w:left w:val="nil"/>
          <w:bottom w:val="nil"/>
          <w:right w:val="nil"/>
          <w:between w:val="nil"/>
        </w:pBdr>
        <w:spacing w:line="240" w:lineRule="auto"/>
        <w:ind w:leftChars="0" w:firstLineChars="0"/>
        <w:jc w:val="both"/>
        <w:rPr>
          <w:b/>
          <w:color w:val="000000"/>
          <w:sz w:val="22"/>
          <w:szCs w:val="22"/>
        </w:rPr>
      </w:pPr>
      <w:r w:rsidRPr="00AB1C1C">
        <w:rPr>
          <w:b/>
          <w:color w:val="000000"/>
          <w:sz w:val="22"/>
          <w:szCs w:val="22"/>
        </w:rPr>
        <w:t>Introduction</w:t>
      </w:r>
    </w:p>
    <w:p w14:paraId="751CE605" w14:textId="77777777" w:rsidR="00A521A9" w:rsidRDefault="00A521A9" w:rsidP="00A521A9">
      <w:pPr>
        <w:ind w:left="0" w:hanging="2"/>
        <w:rPr>
          <w:sz w:val="22"/>
          <w:szCs w:val="22"/>
        </w:rPr>
      </w:pPr>
      <w:r>
        <w:rPr>
          <w:sz w:val="22"/>
          <w:szCs w:val="22"/>
        </w:rPr>
        <w:t xml:space="preserve">In the pre-SA4#121 adhoc meeting, </w:t>
      </w:r>
      <w:r w:rsidRPr="00992585">
        <w:rPr>
          <w:sz w:val="22"/>
          <w:szCs w:val="22"/>
        </w:rPr>
        <w:t xml:space="preserve">S4aR220046 </w:t>
      </w:r>
      <w:r>
        <w:rPr>
          <w:sz w:val="22"/>
          <w:szCs w:val="22"/>
        </w:rPr>
        <w:t xml:space="preserve">[1] discussed the potential support of 3D video types in iRTC clients, namely Holographic/Volumetric-type and Avatar-type.  In this contribution, we would like to introduce a sub-use case under the Volumetric-type category and discuss the possible implications in WebRTC session management. </w:t>
      </w:r>
    </w:p>
    <w:p w14:paraId="70B15369" w14:textId="77777777" w:rsidR="00A521A9" w:rsidRDefault="00A521A9" w:rsidP="00A521A9">
      <w:pPr>
        <w:ind w:left="0" w:hanging="2"/>
        <w:rPr>
          <w:sz w:val="22"/>
          <w:szCs w:val="22"/>
        </w:rPr>
      </w:pPr>
      <w:r>
        <w:rPr>
          <w:sz w:val="22"/>
          <w:szCs w:val="22"/>
        </w:rPr>
        <w:t xml:space="preserve">It covers the cases where WebRTC-enabled UE has </w:t>
      </w:r>
      <w:r w:rsidRPr="00507E9E">
        <w:rPr>
          <w:sz w:val="22"/>
          <w:szCs w:val="22"/>
        </w:rPr>
        <w:t>Multiple Video Sources</w:t>
      </w:r>
      <w:r>
        <w:rPr>
          <w:sz w:val="22"/>
          <w:szCs w:val="22"/>
        </w:rPr>
        <w:t xml:space="preserve"> covering different areas such as 360-degrees of view. In some cases, not all of the current UE’s field-of-view (FoV) is necessary to be streamed or the receiver-side UE does not care what’s behind source’s current FoV. </w:t>
      </w:r>
    </w:p>
    <w:p w14:paraId="5DD9DE40" w14:textId="77777777" w:rsidR="00A521A9" w:rsidRDefault="00A521A9" w:rsidP="00A521A9">
      <w:pPr>
        <w:ind w:left="0" w:hanging="2"/>
        <w:rPr>
          <w:sz w:val="22"/>
          <w:szCs w:val="22"/>
        </w:rPr>
      </w:pPr>
    </w:p>
    <w:p w14:paraId="0A3027E0" w14:textId="77777777" w:rsidR="00A521A9" w:rsidRPr="000C316B" w:rsidRDefault="00A521A9" w:rsidP="00A521A9">
      <w:pPr>
        <w:pStyle w:val="ListParagraph"/>
        <w:numPr>
          <w:ilvl w:val="0"/>
          <w:numId w:val="1"/>
        </w:numPr>
        <w:ind w:leftChars="0" w:firstLineChars="0"/>
        <w:rPr>
          <w:sz w:val="22"/>
          <w:szCs w:val="22"/>
        </w:rPr>
      </w:pPr>
      <w:r w:rsidRPr="00730993">
        <w:rPr>
          <w:b/>
          <w:sz w:val="22"/>
          <w:szCs w:val="22"/>
        </w:rPr>
        <w:t>Multiple Video Sources With different zone allocations</w:t>
      </w:r>
    </w:p>
    <w:p w14:paraId="7476820E" w14:textId="77777777" w:rsidR="00A521A9" w:rsidRDefault="00A521A9" w:rsidP="00A521A9">
      <w:pPr>
        <w:ind w:left="0" w:hanging="2"/>
        <w:rPr>
          <w:sz w:val="22"/>
          <w:szCs w:val="22"/>
        </w:rPr>
      </w:pPr>
    </w:p>
    <w:p w14:paraId="01685072" w14:textId="77777777" w:rsidR="00A521A9" w:rsidRDefault="00A521A9" w:rsidP="00A521A9">
      <w:pPr>
        <w:ind w:left="0" w:hanging="2"/>
        <w:rPr>
          <w:sz w:val="22"/>
          <w:szCs w:val="22"/>
        </w:rPr>
      </w:pPr>
      <w:r>
        <w:rPr>
          <w:sz w:val="22"/>
          <w:szCs w:val="22"/>
        </w:rPr>
        <w:t>Figure. X-2.1 illustrates a common use case when a UE has multiple video sources (e.g. 2D/3D-capable). Each camera may have a fixed Field-of-View (FoV) or varied FoV. Each camera may support the same set of video capabilities such as codec support.</w:t>
      </w:r>
    </w:p>
    <w:p w14:paraId="19E2D48C" w14:textId="77777777" w:rsidR="00A521A9" w:rsidRDefault="00A521A9" w:rsidP="00A521A9">
      <w:pPr>
        <w:ind w:left="0" w:hanging="2"/>
        <w:rPr>
          <w:sz w:val="22"/>
          <w:szCs w:val="22"/>
        </w:rPr>
      </w:pPr>
    </w:p>
    <w:p w14:paraId="2E00BC01" w14:textId="77777777" w:rsidR="00A521A9" w:rsidRDefault="00A521A9" w:rsidP="00A521A9">
      <w:pPr>
        <w:ind w:left="0" w:hanging="2"/>
        <w:rPr>
          <w:sz w:val="22"/>
          <w:szCs w:val="22"/>
        </w:rPr>
      </w:pPr>
      <w:r>
        <w:rPr>
          <w:sz w:val="22"/>
          <w:szCs w:val="22"/>
        </w:rPr>
        <w:t xml:space="preserve">A Zone number is assigned for each camera. By assigning a zone number, the UE has the flexibility to signal each source by its source ID (e.g. SSRC in case of RTP) or zone ID. The zone ID may be assigned with a priority based on the areas it covers. For example, the area covered by cameras in zone-1 may be more important than the ones located in zone-2 and zone-3 since it covers the front FoV of the UE. This is important information since it enables UE to signal the essential zone areas or high-priority zones. In some cases, all of the zones have to be treated equally, then all the zone will have the same priority assignment. </w:t>
      </w:r>
    </w:p>
    <w:p w14:paraId="6D3939BB" w14:textId="77777777" w:rsidR="00A521A9" w:rsidRDefault="00A521A9" w:rsidP="00A521A9">
      <w:pPr>
        <w:ind w:left="0" w:hanging="2"/>
        <w:rPr>
          <w:sz w:val="22"/>
          <w:szCs w:val="22"/>
        </w:rPr>
      </w:pPr>
    </w:p>
    <w:p w14:paraId="4768A871" w14:textId="77777777" w:rsidR="00A521A9" w:rsidRDefault="00A521A9" w:rsidP="00A521A9">
      <w:pPr>
        <w:tabs>
          <w:tab w:val="left" w:pos="2065"/>
        </w:tabs>
        <w:ind w:left="0" w:hanging="2"/>
        <w:rPr>
          <w:rFonts w:eastAsia="Malgun Gothic"/>
          <w:sz w:val="22"/>
          <w:szCs w:val="22"/>
          <w:lang w:eastAsia="ko-KR"/>
        </w:rPr>
      </w:pPr>
    </w:p>
    <w:p w14:paraId="1512CFB2" w14:textId="77777777" w:rsidR="00A521A9" w:rsidRDefault="00A521A9" w:rsidP="00A521A9">
      <w:pPr>
        <w:keepNext/>
        <w:tabs>
          <w:tab w:val="left" w:pos="2065"/>
        </w:tabs>
        <w:ind w:left="0" w:hanging="2"/>
      </w:pPr>
      <w:r>
        <w:object w:dxaOrig="15109" w:dyaOrig="6181" w14:anchorId="555A6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96.4pt" o:ole="">
            <v:imagedata r:id="rId7" o:title=""/>
          </v:shape>
          <o:OLEObject Type="Embed" ProgID="Visio.Drawing.15" ShapeID="_x0000_i1025" DrawAspect="Content" ObjectID="_1729402658" r:id="rId8"/>
        </w:object>
      </w:r>
    </w:p>
    <w:p w14:paraId="0DB68E93" w14:textId="77777777" w:rsidR="00A521A9" w:rsidRPr="00476BB7" w:rsidRDefault="00A521A9" w:rsidP="00A521A9">
      <w:pPr>
        <w:pStyle w:val="Caption"/>
        <w:ind w:left="0" w:hanging="2"/>
        <w:rPr>
          <w:i/>
          <w:iCs/>
        </w:rPr>
      </w:pPr>
      <w:r w:rsidRPr="008A5C88">
        <w:rPr>
          <w:rFonts w:ascii="Arial" w:hAnsi="Arial"/>
          <w:b w:val="0"/>
          <w:sz w:val="22"/>
          <w:szCs w:val="22"/>
          <w:u w:val="none"/>
          <w:lang w:val="en-GB"/>
        </w:rPr>
        <w:t xml:space="preserve">Figure. X-2.1 </w:t>
      </w:r>
      <w:r w:rsidRPr="00AC0647">
        <w:rPr>
          <w:rFonts w:ascii="Arial" w:hAnsi="Arial"/>
          <w:b w:val="0"/>
          <w:sz w:val="22"/>
          <w:szCs w:val="22"/>
          <w:u w:val="none"/>
          <w:lang w:val="en-GB"/>
        </w:rPr>
        <w:t>Multiple Video Sources With different zone</w:t>
      </w:r>
      <w:r>
        <w:rPr>
          <w:rFonts w:ascii="Arial" w:hAnsi="Arial"/>
          <w:b w:val="0"/>
          <w:sz w:val="22"/>
          <w:szCs w:val="22"/>
          <w:u w:val="none"/>
          <w:lang w:val="en-GB"/>
        </w:rPr>
        <w:t xml:space="preserve"> allocations</w:t>
      </w:r>
      <w:r w:rsidRPr="00AC0647">
        <w:rPr>
          <w:rFonts w:ascii="Arial" w:hAnsi="Arial"/>
          <w:b w:val="0"/>
          <w:sz w:val="22"/>
          <w:szCs w:val="22"/>
          <w:u w:val="none"/>
          <w:lang w:val="en-GB"/>
        </w:rPr>
        <w:t xml:space="preserve"> in iRTC Client</w:t>
      </w:r>
    </w:p>
    <w:p w14:paraId="2F8845A4" w14:textId="77777777" w:rsidR="00A521A9" w:rsidRPr="00476BB7" w:rsidRDefault="00A521A9" w:rsidP="00A521A9">
      <w:pPr>
        <w:ind w:left="0" w:hanging="2"/>
        <w:rPr>
          <w:i/>
          <w:iCs/>
          <w:sz w:val="22"/>
          <w:szCs w:val="22"/>
        </w:rPr>
      </w:pPr>
      <w:r w:rsidRPr="00476BB7">
        <w:rPr>
          <w:i/>
          <w:iCs/>
          <w:sz w:val="22"/>
          <w:szCs w:val="22"/>
        </w:rPr>
        <w:t xml:space="preserve">Note: the number of cameras and size of UE can be varied. </w:t>
      </w:r>
    </w:p>
    <w:p w14:paraId="19E46CD0" w14:textId="77777777" w:rsidR="00A521A9" w:rsidRDefault="00A521A9" w:rsidP="00A521A9">
      <w:pPr>
        <w:ind w:left="0" w:hanging="2"/>
      </w:pPr>
    </w:p>
    <w:p w14:paraId="6B2F1EEF" w14:textId="77777777" w:rsidR="00A521A9" w:rsidRDefault="00A521A9" w:rsidP="00A521A9">
      <w:pPr>
        <w:ind w:left="0" w:hanging="2"/>
        <w:rPr>
          <w:sz w:val="22"/>
          <w:szCs w:val="22"/>
        </w:rPr>
      </w:pPr>
      <w:r>
        <w:rPr>
          <w:sz w:val="22"/>
          <w:szCs w:val="22"/>
        </w:rPr>
        <w:t>For such a UE to be able to support signaling multiple video sources over the network, UE may have a choice of signaling an SDP by a) combing multiple zones into one or b) sending SDP from the individual zone.</w:t>
      </w:r>
    </w:p>
    <w:p w14:paraId="09C29995" w14:textId="77777777" w:rsidR="00A521A9" w:rsidRDefault="00A521A9" w:rsidP="00A521A9">
      <w:pPr>
        <w:ind w:left="0" w:hanging="2"/>
        <w:rPr>
          <w:sz w:val="22"/>
          <w:szCs w:val="22"/>
        </w:rPr>
      </w:pPr>
    </w:p>
    <w:p w14:paraId="098AAC32" w14:textId="77777777" w:rsidR="00A521A9" w:rsidRPr="00C00EEF" w:rsidRDefault="00A521A9" w:rsidP="00A521A9">
      <w:pPr>
        <w:ind w:left="0" w:hanging="2"/>
        <w:rPr>
          <w:sz w:val="22"/>
          <w:szCs w:val="22"/>
        </w:rPr>
      </w:pPr>
      <w:r>
        <w:rPr>
          <w:sz w:val="22"/>
          <w:szCs w:val="22"/>
        </w:rPr>
        <w:t xml:space="preserve">In the case of WebRTC, the WebRTC signaling server may forward individual SDP from the independent zone or a single SDP carries all necessary parameters for all the zones. The benefit of using a zone ID is that the WebRTC signaling server may provide recommended or modified RTCP control for each zone area based on a pre-assigned priority level such as each zone may receive different bandwidth allocation for RTCP control. </w:t>
      </w:r>
    </w:p>
    <w:p w14:paraId="27FC9D15" w14:textId="77777777" w:rsidR="00A521A9" w:rsidRPr="00DA4E30" w:rsidRDefault="00A521A9" w:rsidP="00A521A9">
      <w:pPr>
        <w:tabs>
          <w:tab w:val="left" w:pos="2065"/>
        </w:tabs>
        <w:ind w:leftChars="0" w:left="0" w:firstLineChars="0" w:firstLine="0"/>
        <w:rPr>
          <w:rFonts w:eastAsia="Malgun Gothic"/>
          <w:sz w:val="22"/>
          <w:szCs w:val="22"/>
          <w:lang w:eastAsia="ko-KR"/>
        </w:rPr>
      </w:pPr>
    </w:p>
    <w:p w14:paraId="2122FAD5" w14:textId="77777777" w:rsidR="00A521A9" w:rsidRPr="00AB1C1C" w:rsidRDefault="00A521A9" w:rsidP="00A521A9">
      <w:pPr>
        <w:pStyle w:val="ListParagraph"/>
        <w:numPr>
          <w:ilvl w:val="0"/>
          <w:numId w:val="1"/>
        </w:numPr>
        <w:tabs>
          <w:tab w:val="left" w:pos="2065"/>
        </w:tabs>
        <w:ind w:leftChars="0" w:firstLineChars="0"/>
        <w:rPr>
          <w:b/>
          <w:sz w:val="22"/>
          <w:szCs w:val="22"/>
        </w:rPr>
      </w:pPr>
      <w:r w:rsidRPr="00AB1C1C">
        <w:rPr>
          <w:b/>
          <w:sz w:val="22"/>
          <w:szCs w:val="22"/>
        </w:rPr>
        <w:t>Proposal</w:t>
      </w:r>
    </w:p>
    <w:p w14:paraId="55FD8CCD" w14:textId="299B6797" w:rsidR="00A521A9" w:rsidRDefault="00A521A9" w:rsidP="00A521A9">
      <w:pPr>
        <w:tabs>
          <w:tab w:val="left" w:pos="2065"/>
        </w:tabs>
        <w:ind w:left="0" w:hanging="2"/>
        <w:rPr>
          <w:sz w:val="22"/>
          <w:szCs w:val="22"/>
        </w:rPr>
      </w:pPr>
      <w:r>
        <w:rPr>
          <w:sz w:val="22"/>
          <w:szCs w:val="22"/>
        </w:rPr>
        <w:t xml:space="preserve">It is proposed d to add </w:t>
      </w:r>
      <w:r w:rsidR="00B02292">
        <w:rPr>
          <w:sz w:val="22"/>
          <w:szCs w:val="22"/>
        </w:rPr>
        <w:t>clause</w:t>
      </w:r>
      <w:r>
        <w:rPr>
          <w:sz w:val="22"/>
          <w:szCs w:val="22"/>
        </w:rPr>
        <w:t xml:space="preserve"> 2 into the iRTCW permanent document and work on session management-related procedures for this use case. </w:t>
      </w:r>
    </w:p>
    <w:p w14:paraId="7B0F82FD" w14:textId="77777777" w:rsidR="00A521A9" w:rsidRDefault="00A521A9" w:rsidP="00A521A9">
      <w:pPr>
        <w:tabs>
          <w:tab w:val="left" w:pos="2065"/>
        </w:tabs>
        <w:ind w:left="0" w:hanging="2"/>
        <w:rPr>
          <w:sz w:val="22"/>
          <w:szCs w:val="22"/>
        </w:rPr>
      </w:pPr>
    </w:p>
    <w:p w14:paraId="1D21210B" w14:textId="77777777" w:rsidR="00A521A9" w:rsidRPr="00AB1C1C" w:rsidRDefault="00A521A9" w:rsidP="00A521A9">
      <w:pPr>
        <w:pStyle w:val="ListParagraph"/>
        <w:numPr>
          <w:ilvl w:val="0"/>
          <w:numId w:val="1"/>
        </w:numPr>
        <w:ind w:leftChars="0" w:firstLineChars="0"/>
        <w:jc w:val="both"/>
        <w:rPr>
          <w:b/>
          <w:sz w:val="22"/>
          <w:szCs w:val="22"/>
        </w:rPr>
      </w:pPr>
      <w:r w:rsidRPr="00AB1C1C">
        <w:rPr>
          <w:b/>
          <w:sz w:val="22"/>
          <w:szCs w:val="22"/>
        </w:rPr>
        <w:t>References</w:t>
      </w:r>
    </w:p>
    <w:p w14:paraId="1AFD63A9" w14:textId="77777777" w:rsidR="00A521A9" w:rsidRDefault="00A521A9" w:rsidP="00A521A9">
      <w:pPr>
        <w:widowControl/>
        <w:spacing w:after="0" w:line="276" w:lineRule="auto"/>
        <w:ind w:left="0" w:hanging="2"/>
        <w:rPr>
          <w:sz w:val="22"/>
          <w:szCs w:val="22"/>
        </w:rPr>
      </w:pPr>
      <w:bookmarkStart w:id="0" w:name="_heading=h.30j0zll" w:colFirst="0" w:colLast="0"/>
      <w:bookmarkEnd w:id="0"/>
      <w:r>
        <w:rPr>
          <w:sz w:val="22"/>
          <w:szCs w:val="22"/>
        </w:rPr>
        <w:t xml:space="preserve">[1] </w:t>
      </w:r>
      <w:r w:rsidRPr="00992585">
        <w:rPr>
          <w:sz w:val="22"/>
          <w:szCs w:val="22"/>
        </w:rPr>
        <w:t>S4aR220046</w:t>
      </w:r>
      <w:r>
        <w:rPr>
          <w:sz w:val="22"/>
          <w:szCs w:val="22"/>
        </w:rPr>
        <w:t xml:space="preserve">, </w:t>
      </w:r>
      <w:r w:rsidRPr="00696A35">
        <w:rPr>
          <w:sz w:val="22"/>
          <w:szCs w:val="22"/>
        </w:rPr>
        <w:t>3D Video Types for iRTC Client in the Terminal</w:t>
      </w:r>
      <w:r>
        <w:rPr>
          <w:sz w:val="22"/>
          <w:szCs w:val="22"/>
        </w:rPr>
        <w:t xml:space="preserve">, </w:t>
      </w:r>
      <w:r w:rsidRPr="00A53D14">
        <w:rPr>
          <w:sz w:val="22"/>
          <w:szCs w:val="22"/>
        </w:rPr>
        <w:t>3D Video Types for iRTC Client in the Terminal</w:t>
      </w:r>
      <w:r>
        <w:rPr>
          <w:sz w:val="22"/>
          <w:szCs w:val="22"/>
        </w:rPr>
        <w:t xml:space="preserve"> </w:t>
      </w:r>
    </w:p>
    <w:p w14:paraId="05E51ADF" w14:textId="77777777" w:rsidR="00A521A9" w:rsidRDefault="00A521A9" w:rsidP="00A521A9">
      <w:pPr>
        <w:widowControl/>
        <w:spacing w:after="0" w:line="276" w:lineRule="auto"/>
        <w:ind w:left="0" w:hanging="2"/>
        <w:rPr>
          <w:sz w:val="22"/>
          <w:szCs w:val="22"/>
        </w:rPr>
      </w:pPr>
    </w:p>
    <w:p w14:paraId="1632318E" w14:textId="77777777" w:rsidR="00A521A9" w:rsidRDefault="00A521A9">
      <w:pPr>
        <w:ind w:left="0" w:hanging="2"/>
      </w:pPr>
    </w:p>
    <w:sectPr w:rsidR="00A521A9">
      <w:headerReference w:type="even" r:id="rId9"/>
      <w:headerReference w:type="default" r:id="rId10"/>
      <w:footerReference w:type="even" r:id="rId11"/>
      <w:footerReference w:type="default" r:id="rId12"/>
      <w:headerReference w:type="first" r:id="rId13"/>
      <w:footerReference w:type="first" r:id="rId14"/>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572A" w14:textId="77777777" w:rsidR="00A521A9" w:rsidRDefault="00A521A9" w:rsidP="00A521A9">
      <w:pPr>
        <w:spacing w:after="0" w:line="240" w:lineRule="auto"/>
        <w:ind w:left="0" w:hanging="2"/>
      </w:pPr>
      <w:r>
        <w:separator/>
      </w:r>
    </w:p>
  </w:endnote>
  <w:endnote w:type="continuationSeparator" w:id="0">
    <w:p w14:paraId="5655AF18" w14:textId="77777777" w:rsidR="00A521A9" w:rsidRDefault="00A521A9" w:rsidP="00A521A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4E8B0" w14:textId="77777777" w:rsidR="00913AD5" w:rsidRDefault="00A521A9">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B02292">
      <w:rPr>
        <w:color w:val="000000"/>
      </w:rPr>
      <w:fldChar w:fldCharType="separate"/>
    </w:r>
    <w:r>
      <w:rPr>
        <w:color w:val="000000"/>
      </w:rPr>
      <w:fldChar w:fldCharType="end"/>
    </w:r>
  </w:p>
  <w:p w14:paraId="228F8B25" w14:textId="77777777" w:rsidR="00913AD5" w:rsidRDefault="00B02292">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C1173" w14:textId="77777777" w:rsidR="00913AD5" w:rsidRDefault="00A521A9">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7A665FC" w14:textId="77777777" w:rsidR="00913AD5" w:rsidRDefault="00A521A9">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3DC7C" w14:textId="77777777" w:rsidR="00913AD5" w:rsidRDefault="00A521A9">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5A31" w14:textId="77777777" w:rsidR="00A521A9" w:rsidRDefault="00A521A9" w:rsidP="00A521A9">
      <w:pPr>
        <w:spacing w:after="0" w:line="240" w:lineRule="auto"/>
        <w:ind w:left="0" w:hanging="2"/>
      </w:pPr>
      <w:r>
        <w:separator/>
      </w:r>
    </w:p>
  </w:footnote>
  <w:footnote w:type="continuationSeparator" w:id="0">
    <w:p w14:paraId="5A4E3A60" w14:textId="77777777" w:rsidR="00A521A9" w:rsidRDefault="00A521A9" w:rsidP="00A521A9">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493A2" w14:textId="77777777" w:rsidR="00913AD5" w:rsidRDefault="00B02292">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6A76E" w14:textId="77777777" w:rsidR="00562FF6" w:rsidRDefault="00A521A9" w:rsidP="00562FF6">
    <w:pPr>
      <w:tabs>
        <w:tab w:val="right" w:pos="9639"/>
      </w:tabs>
      <w:spacing w:after="60"/>
      <w:ind w:left="0" w:hanging="2"/>
      <w:rPr>
        <w:sz w:val="22"/>
        <w:szCs w:val="22"/>
      </w:rPr>
    </w:pPr>
    <w:r>
      <w:rPr>
        <w:b/>
        <w:sz w:val="22"/>
        <w:szCs w:val="22"/>
      </w:rPr>
      <w:t>3GPP TSG-SA4 Meeting #121</w:t>
    </w:r>
    <w:r>
      <w:rPr>
        <w:b/>
        <w:sz w:val="22"/>
        <w:szCs w:val="22"/>
      </w:rPr>
      <w:tab/>
    </w:r>
    <w:r>
      <w:rPr>
        <w:b/>
        <w:i/>
        <w:sz w:val="22"/>
        <w:szCs w:val="22"/>
      </w:rPr>
      <w:t>Tdoc S4-221265</w:t>
    </w:r>
  </w:p>
  <w:p w14:paraId="2AF1DEA2" w14:textId="77777777" w:rsidR="00913AD5" w:rsidRPr="00562FF6" w:rsidRDefault="00A521A9" w:rsidP="00562FF6">
    <w:pPr>
      <w:pStyle w:val="Header"/>
      <w:ind w:left="0" w:hanging="2"/>
    </w:pPr>
    <w:r>
      <w:rPr>
        <w:b/>
        <w:sz w:val="22"/>
        <w:szCs w:val="22"/>
      </w:rPr>
      <w:t>Toulouse France, Nov 14-18,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9D31" w14:textId="77777777" w:rsidR="005E68AA" w:rsidRDefault="00A521A9" w:rsidP="005E68AA">
    <w:pPr>
      <w:tabs>
        <w:tab w:val="right" w:pos="9639"/>
      </w:tabs>
      <w:spacing w:after="60"/>
      <w:ind w:left="0" w:hanging="2"/>
      <w:rPr>
        <w:sz w:val="22"/>
        <w:szCs w:val="22"/>
      </w:rPr>
    </w:pPr>
    <w:r>
      <w:rPr>
        <w:b/>
        <w:sz w:val="22"/>
        <w:szCs w:val="22"/>
      </w:rPr>
      <w:t>3GPP TSG-SA4 Meeting #121</w:t>
    </w:r>
    <w:r>
      <w:rPr>
        <w:b/>
        <w:sz w:val="22"/>
        <w:szCs w:val="22"/>
      </w:rPr>
      <w:tab/>
    </w:r>
    <w:r>
      <w:rPr>
        <w:b/>
        <w:i/>
        <w:sz w:val="22"/>
        <w:szCs w:val="22"/>
      </w:rPr>
      <w:t>Tdoc S4-221265</w:t>
    </w:r>
  </w:p>
  <w:p w14:paraId="33AC4249" w14:textId="77777777" w:rsidR="00913AD5" w:rsidRPr="005E68AA" w:rsidRDefault="00A521A9" w:rsidP="005E68AA">
    <w:pPr>
      <w:tabs>
        <w:tab w:val="right" w:pos="9639"/>
      </w:tabs>
      <w:spacing w:after="60"/>
      <w:ind w:left="0" w:hanging="2"/>
      <w:rPr>
        <w:sz w:val="22"/>
        <w:szCs w:val="22"/>
      </w:rPr>
    </w:pPr>
    <w:r>
      <w:rPr>
        <w:b/>
        <w:sz w:val="22"/>
        <w:szCs w:val="22"/>
      </w:rPr>
      <w:t>Toulouse France, Nov 14-18, 2022</w:t>
    </w:r>
    <w:r>
      <w:rPr>
        <w:b/>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B000CE"/>
    <w:multiLevelType w:val="hybridMultilevel"/>
    <w:tmpl w:val="DB366614"/>
    <w:lvl w:ilvl="0" w:tplc="5948804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1A9"/>
    <w:rsid w:val="00A521A9"/>
    <w:rsid w:val="00B02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4FF334"/>
  <w15:chartTrackingRefBased/>
  <w15:docId w15:val="{CCDCADDB-AF8B-4EAC-98E9-81631F09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A9"/>
    <w:pPr>
      <w:widowControl w:val="0"/>
      <w:suppressAutoHyphens/>
      <w:spacing w:after="120" w:line="240" w:lineRule="atLeast"/>
      <w:ind w:leftChars="-1" w:left="-1" w:hangingChars="1" w:hanging="1"/>
      <w:textDirection w:val="btLr"/>
      <w:textAlignment w:val="top"/>
      <w:outlineLvl w:val="0"/>
    </w:pPr>
    <w:rPr>
      <w:rFonts w:ascii="Arial" w:eastAsia="Arial" w:hAnsi="Arial" w:cs="Arial"/>
      <w:position w:val="-1"/>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521A9"/>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521A9"/>
    <w:rPr>
      <w:rFonts w:ascii="Arial" w:eastAsia="Arial" w:hAnsi="Arial" w:cs="Arial"/>
      <w:position w:val="-1"/>
      <w:sz w:val="20"/>
      <w:szCs w:val="20"/>
      <w:lang w:eastAsia="en-US"/>
    </w:rPr>
  </w:style>
  <w:style w:type="paragraph" w:styleId="Caption">
    <w:name w:val="caption"/>
    <w:basedOn w:val="Normal"/>
    <w:next w:val="Normal"/>
    <w:rsid w:val="00A521A9"/>
    <w:pPr>
      <w:widowControl/>
      <w:spacing w:line="240" w:lineRule="auto"/>
      <w:jc w:val="center"/>
    </w:pPr>
    <w:rPr>
      <w:rFonts w:ascii="Times New Roman" w:hAnsi="Times New Roman"/>
      <w:b/>
      <w:u w:val="single"/>
    </w:rPr>
  </w:style>
  <w:style w:type="paragraph" w:styleId="ListParagraph">
    <w:name w:val="List Paragraph"/>
    <w:basedOn w:val="Normal"/>
    <w:uiPriority w:val="34"/>
    <w:qFormat/>
    <w:rsid w:val="00A52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465</Words>
  <Characters>2332</Characters>
  <Application>Microsoft Office Word</Application>
  <DocSecurity>0</DocSecurity>
  <Lines>45</Lines>
  <Paragraphs>30</Paragraphs>
  <ScaleCrop>false</ScaleCrop>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2</cp:revision>
  <dcterms:created xsi:type="dcterms:W3CDTF">2022-11-08T10:57:00Z</dcterms:created>
  <dcterms:modified xsi:type="dcterms:W3CDTF">2022-11-08T16:49:00Z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a8f594ee-81ff-460e-801d-d460aa5e26c7</vt:lpwstr>
  </property>
</Properties>
</file>