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B9D9F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4755C">
        <w:rPr>
          <w:rFonts w:ascii="Arial" w:hAnsi="Arial" w:cs="Arial"/>
          <w:szCs w:val="24"/>
          <w:lang w:val="pt-BR" w:eastAsia="ja-JP"/>
        </w:rPr>
        <w:t>10.</w:t>
      </w:r>
      <w:r w:rsidR="00B42FEA">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FBAB01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4755C">
        <w:rPr>
          <w:rFonts w:ascii="Arial" w:hAnsi="Arial" w:cs="Arial"/>
          <w:b/>
          <w:szCs w:val="24"/>
          <w:lang w:val="en-US" w:eastAsia="ja-JP"/>
        </w:rPr>
        <w:t>Considerations on WebRTC QoS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6EA7939A" w:rsidR="00F2666E" w:rsidRDefault="00261837" w:rsidP="00C112DE">
      <w:pPr>
        <w:rPr>
          <w:lang w:val="en-US"/>
        </w:rPr>
      </w:pPr>
      <w:r>
        <w:rPr>
          <w:lang w:val="en-US"/>
        </w:rPr>
        <w:t>In this contribution, we</w:t>
      </w:r>
      <w:r w:rsidR="00D4755C">
        <w:rPr>
          <w:lang w:val="en-US"/>
        </w:rPr>
        <w:t xml:space="preserve"> </w:t>
      </w:r>
      <w:r w:rsidR="00F2666E">
        <w:rPr>
          <w:lang w:val="en-US"/>
        </w:rPr>
        <w:t xml:space="preserve">define four different collaboration scenarios that are relevant to the </w:t>
      </w:r>
      <w:proofErr w:type="spellStart"/>
      <w:r w:rsidR="00F2666E">
        <w:rPr>
          <w:lang w:val="en-US"/>
        </w:rPr>
        <w:t>iRTCW</w:t>
      </w:r>
      <w:proofErr w:type="spellEnd"/>
      <w:r w:rsidR="00F2666E">
        <w:rPr>
          <w:lang w:val="en-US"/>
        </w:rPr>
        <w:t xml:space="preserve"> work item and the </w:t>
      </w:r>
      <w:proofErr w:type="spellStart"/>
      <w:r w:rsidR="00F2666E">
        <w:rPr>
          <w:lang w:val="en-US"/>
        </w:rPr>
        <w:t>FS_eiRTCW</w:t>
      </w:r>
      <w:proofErr w:type="spellEnd"/>
      <w:r w:rsidR="00F2666E">
        <w:rPr>
          <w:lang w:val="en-US"/>
        </w:rPr>
        <w:t xml:space="preserve"> study item.</w:t>
      </w:r>
    </w:p>
    <w:bookmarkEnd w:id="0"/>
    <w:p w14:paraId="2245E2A1" w14:textId="12AE4628" w:rsidR="009162C5" w:rsidRDefault="009162C5" w:rsidP="00CD5384">
      <w:pPr>
        <w:pStyle w:val="Heading1"/>
        <w:numPr>
          <w:ilvl w:val="0"/>
          <w:numId w:val="3"/>
        </w:numPr>
      </w:pPr>
      <w:r>
        <w:t>Collaboration Scenarios</w:t>
      </w:r>
    </w:p>
    <w:p w14:paraId="42C61A2A" w14:textId="47828873" w:rsidR="00F2666E" w:rsidRDefault="00F2666E" w:rsidP="00F2666E">
      <w:pPr>
        <w:numPr>
          <w:ilvl w:val="1"/>
          <w:numId w:val="3"/>
        </w:numPr>
        <w:rPr>
          <w:lang w:val="en-US"/>
        </w:rPr>
      </w:pPr>
      <w:r>
        <w:rPr>
          <w:lang w:val="en-US"/>
        </w:rPr>
        <w:t xml:space="preserve"> </w:t>
      </w:r>
      <w:r>
        <w:rPr>
          <w:lang w:val="en-US"/>
        </w:rPr>
        <w:tab/>
        <w:t>5G Support for OTT WebRTC</w:t>
      </w:r>
    </w:p>
    <w:p w14:paraId="75B9724D" w14:textId="64ACB411" w:rsidR="001A42A4" w:rsidRDefault="001A42A4" w:rsidP="001A42A4">
      <w:pPr>
        <w:rPr>
          <w:lang w:val="en-US"/>
        </w:rPr>
      </w:pPr>
      <w:r>
        <w:rPr>
          <w:lang w:val="en-US"/>
        </w:rPr>
        <w:t xml:space="preserve">In this scenario, the application provider </w:t>
      </w:r>
      <w:r w:rsidR="0084181F">
        <w:rPr>
          <w:lang w:val="en-US"/>
        </w:rPr>
        <w:t xml:space="preserve">offers a WebRTC service to their customers and is responsible for the security and privacy of the data exchanged over their service. The application provider desires to improve the quality of the service </w:t>
      </w:r>
      <w:r w:rsidR="00693A9A">
        <w:rPr>
          <w:lang w:val="en-US"/>
        </w:rPr>
        <w:t xml:space="preserve">for mobile users. </w:t>
      </w:r>
    </w:p>
    <w:p w14:paraId="6F0819F2" w14:textId="28842C1A" w:rsidR="0084181F" w:rsidRDefault="00693A9A" w:rsidP="001A42A4">
      <w:pPr>
        <w:rPr>
          <w:lang w:val="en-US"/>
        </w:rPr>
      </w:pPr>
      <w:r>
        <w:rPr>
          <w:lang w:val="en-US"/>
        </w:rPr>
        <w:t xml:space="preserve">The collaboration scenario is </w:t>
      </w:r>
      <w:proofErr w:type="gramStart"/>
      <w:r>
        <w:rPr>
          <w:lang w:val="en-US"/>
        </w:rPr>
        <w:t>similar to</w:t>
      </w:r>
      <w:proofErr w:type="gramEnd"/>
      <w:r>
        <w:rPr>
          <w:lang w:val="en-US"/>
        </w:rPr>
        <w:t xml:space="preserve"> the 5GMS streaming model, where all involved Application Servers (AS) are in non-trusted domain. </w:t>
      </w:r>
    </w:p>
    <w:p w14:paraId="719C9D16" w14:textId="7F8BEF1F" w:rsidR="006E75DC" w:rsidRDefault="006E75DC" w:rsidP="001A42A4">
      <w:pPr>
        <w:rPr>
          <w:lang w:val="en-US"/>
        </w:rPr>
      </w:pPr>
      <w:r>
        <w:rPr>
          <w:lang w:val="en-US"/>
        </w:rPr>
        <w:t>The following figure depicts this collaboration scenario:</w:t>
      </w:r>
    </w:p>
    <w:p w14:paraId="366187FA" w14:textId="3CF10F8A" w:rsidR="006E75DC" w:rsidRDefault="006E75DC" w:rsidP="001A42A4">
      <w:pPr>
        <w:rPr>
          <w:lang w:val="en-US"/>
        </w:rPr>
      </w:pPr>
      <w:r>
        <w:rPr>
          <w:noProof/>
          <w:lang w:val="en-US"/>
        </w:rPr>
      </w:r>
      <w:r>
        <w:rPr>
          <w:lang w:val="en-US"/>
        </w:rPr>
        <w:pict w14:anchorId="2DDFE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width:457pt;height:298.9pt;mso-left-percent:-10001;mso-top-percent:-10001;mso-position-horizontal:absolute;mso-position-horizontal-relative:char;mso-position-vertical:absolute;mso-position-vertical-relative:line;mso-left-percent:-10001;mso-top-percent:-10001">
            <v:imagedata r:id="rId11" o:title=""/>
            <w10:anchorlock/>
          </v:shape>
        </w:pict>
      </w:r>
    </w:p>
    <w:p w14:paraId="542794E0" w14:textId="21F66C1A" w:rsidR="00F2666E" w:rsidRDefault="001A42A4" w:rsidP="00F2666E">
      <w:pPr>
        <w:numPr>
          <w:ilvl w:val="1"/>
          <w:numId w:val="3"/>
        </w:numPr>
        <w:rPr>
          <w:lang w:val="en-US"/>
        </w:rPr>
      </w:pPr>
      <w:r>
        <w:rPr>
          <w:lang w:val="en-US"/>
        </w:rPr>
        <w:lastRenderedPageBreak/>
        <w:t xml:space="preserve"> </w:t>
      </w:r>
      <w:r>
        <w:rPr>
          <w:lang w:val="en-US"/>
        </w:rPr>
        <w:tab/>
        <w:t>MNO-provided trusted WebRTC functions</w:t>
      </w:r>
    </w:p>
    <w:p w14:paraId="059DE0EA" w14:textId="78393D13" w:rsidR="00693A9A" w:rsidRDefault="00FD127A" w:rsidP="00693A9A">
      <w:pPr>
        <w:rPr>
          <w:lang w:val="en-US"/>
        </w:rPr>
      </w:pPr>
      <w:r>
        <w:rPr>
          <w:lang w:val="en-US"/>
        </w:rPr>
        <w:t xml:space="preserve">In this collaboration scenario, the user utilizes a variety of WebRTC-based conferencing services for personal and work purposes. </w:t>
      </w:r>
      <w:r w:rsidR="00904C10">
        <w:rPr>
          <w:lang w:val="en-US"/>
        </w:rPr>
        <w:t xml:space="preserve">The user is concerned about their privacy, </w:t>
      </w:r>
      <w:proofErr w:type="gramStart"/>
      <w:r w:rsidR="00904C10">
        <w:rPr>
          <w:lang w:val="en-US"/>
        </w:rPr>
        <w:t>e.g.</w:t>
      </w:r>
      <w:proofErr w:type="gramEnd"/>
      <w:r w:rsidR="00904C10">
        <w:rPr>
          <w:lang w:val="en-US"/>
        </w:rPr>
        <w:t xml:space="preserve"> through threats from man-in-the-middle attacks that result from usage of untrustworthy ICE functions. the user opts for using a trusted WebRTC configuration, that is provided by their MNO, which offers ICE functions such as STUN, TURN, MCU, etc. </w:t>
      </w:r>
    </w:p>
    <w:p w14:paraId="46E8EA21" w14:textId="4F0BB94E" w:rsidR="00904C10" w:rsidRDefault="00904C10" w:rsidP="00693A9A">
      <w:pPr>
        <w:rPr>
          <w:lang w:val="en-US"/>
        </w:rPr>
      </w:pPr>
      <w:r>
        <w:rPr>
          <w:lang w:val="en-US"/>
        </w:rPr>
        <w:t xml:space="preserve">In addition, the MNO will offer the required </w:t>
      </w:r>
      <w:r w:rsidR="00D7320F">
        <w:rPr>
          <w:lang w:val="en-US"/>
        </w:rPr>
        <w:t>traffic handling to the WebRTC sessions, from some or all application providers, based on existing SLAs or based on user contractual agreements.</w:t>
      </w:r>
    </w:p>
    <w:p w14:paraId="0FC0BE6B" w14:textId="77777777" w:rsidR="006E75DC" w:rsidRDefault="006E75DC" w:rsidP="006E75DC">
      <w:pPr>
        <w:rPr>
          <w:lang w:val="en-US"/>
        </w:rPr>
      </w:pPr>
      <w:r>
        <w:rPr>
          <w:lang w:val="en-US"/>
        </w:rPr>
        <w:t>The following figure depicts this collaboration scenario:</w:t>
      </w:r>
    </w:p>
    <w:p w14:paraId="7055D7EC" w14:textId="28954C46" w:rsidR="006E75DC" w:rsidRDefault="006E75DC" w:rsidP="006E75DC">
      <w:pPr>
        <w:rPr>
          <w:lang w:val="en-US"/>
        </w:rPr>
      </w:pPr>
      <w:r>
        <w:rPr>
          <w:noProof/>
          <w:lang w:val="en-US"/>
        </w:rPr>
      </w:r>
      <w:r>
        <w:rPr>
          <w:lang w:val="en-US"/>
        </w:rPr>
        <w:pict w14:anchorId="4ACE1874">
          <v:shape id="_x0000_s2068" type="#_x0000_t75" style="width:503.65pt;height:329.4pt;mso-left-percent:-10001;mso-top-percent:-10001;mso-position-horizontal:absolute;mso-position-horizontal-relative:char;mso-position-vertical:absolute;mso-position-vertical-relative:line;mso-left-percent:-10001;mso-top-percent:-10001">
            <v:imagedata r:id="rId12" o:title=""/>
            <w10:anchorlock/>
          </v:shape>
        </w:pict>
      </w:r>
    </w:p>
    <w:p w14:paraId="0FD0D5A8" w14:textId="77777777" w:rsidR="006E75DC" w:rsidRDefault="006E75DC" w:rsidP="00693A9A">
      <w:pPr>
        <w:rPr>
          <w:lang w:val="en-US"/>
        </w:rPr>
      </w:pPr>
    </w:p>
    <w:p w14:paraId="248C49F9" w14:textId="27575B3D" w:rsidR="001A42A4" w:rsidRDefault="001A42A4" w:rsidP="00F2666E">
      <w:pPr>
        <w:numPr>
          <w:ilvl w:val="1"/>
          <w:numId w:val="3"/>
        </w:numPr>
        <w:rPr>
          <w:lang w:val="en-US"/>
        </w:rPr>
      </w:pPr>
      <w:r>
        <w:rPr>
          <w:lang w:val="en-US"/>
        </w:rPr>
        <w:t xml:space="preserve"> </w:t>
      </w:r>
      <w:r>
        <w:rPr>
          <w:lang w:val="en-US"/>
        </w:rPr>
        <w:tab/>
        <w:t>MNO-facilitated WebRTC services</w:t>
      </w:r>
    </w:p>
    <w:p w14:paraId="5D53F2B3" w14:textId="7197644B" w:rsidR="00D7320F" w:rsidRDefault="00D7320F" w:rsidP="00D7320F">
      <w:pPr>
        <w:rPr>
          <w:lang w:val="en-US"/>
        </w:rPr>
      </w:pPr>
      <w:r>
        <w:rPr>
          <w:lang w:val="en-US"/>
        </w:rPr>
        <w:t xml:space="preserve">The MNO may offer several WebRTC-based services such as remote gaming, AR telephony, etc. These services are facilitated and managed by the MNO and are offered to the MNO’s customers exclusively. </w:t>
      </w:r>
    </w:p>
    <w:p w14:paraId="57EF7DF7" w14:textId="65A57A60" w:rsidR="00D7320F" w:rsidRDefault="00D7320F" w:rsidP="00D7320F">
      <w:pPr>
        <w:rPr>
          <w:lang w:val="en-US"/>
        </w:rPr>
      </w:pPr>
      <w:r>
        <w:rPr>
          <w:lang w:val="en-US"/>
        </w:rPr>
        <w:t>All WebRTC functionality is hosted by the MNO, which ensures the quality of the services through appropriate network assistance, such as QoS allocation.</w:t>
      </w:r>
    </w:p>
    <w:p w14:paraId="101CD086" w14:textId="77777777" w:rsidR="006E75DC" w:rsidRDefault="006E75DC" w:rsidP="006E75DC">
      <w:pPr>
        <w:rPr>
          <w:lang w:val="en-US"/>
        </w:rPr>
      </w:pPr>
      <w:r>
        <w:rPr>
          <w:lang w:val="en-US"/>
        </w:rPr>
        <w:t>The following figure depicts this collaboration scenario:</w:t>
      </w:r>
    </w:p>
    <w:p w14:paraId="3C785250" w14:textId="68FD7ABD" w:rsidR="006E75DC" w:rsidRDefault="006E75DC" w:rsidP="006E75DC">
      <w:pPr>
        <w:rPr>
          <w:lang w:val="en-US"/>
        </w:rPr>
      </w:pPr>
      <w:r>
        <w:rPr>
          <w:noProof/>
          <w:lang w:val="en-US"/>
        </w:rPr>
      </w:r>
      <w:r>
        <w:rPr>
          <w:lang w:val="en-US"/>
        </w:rPr>
        <w:pict w14:anchorId="2BEC5A6E">
          <v:shape id="_x0000_s2069" type="#_x0000_t75" style="width:262.1pt;height:235.7pt;mso-left-percent:-10001;mso-top-percent:-10001;mso-position-horizontal:absolute;mso-position-horizontal-relative:char;mso-position-vertical:absolute;mso-position-vertical-relative:line;mso-left-percent:-10001;mso-top-percent:-10001">
            <v:imagedata r:id="rId13" o:title=""/>
            <w10:anchorlock/>
          </v:shape>
        </w:pict>
      </w:r>
    </w:p>
    <w:p w14:paraId="18549AEE" w14:textId="77777777" w:rsidR="006E75DC" w:rsidRDefault="006E75DC" w:rsidP="00D7320F">
      <w:pPr>
        <w:rPr>
          <w:lang w:val="en-US"/>
        </w:rPr>
      </w:pPr>
    </w:p>
    <w:p w14:paraId="6A0B6A9B" w14:textId="05608F88" w:rsidR="001A42A4" w:rsidRDefault="001A42A4" w:rsidP="00F2666E">
      <w:pPr>
        <w:numPr>
          <w:ilvl w:val="1"/>
          <w:numId w:val="3"/>
        </w:numPr>
        <w:rPr>
          <w:lang w:val="en-US"/>
        </w:rPr>
      </w:pPr>
      <w:r>
        <w:rPr>
          <w:lang w:val="en-US"/>
        </w:rPr>
        <w:t xml:space="preserve"> </w:t>
      </w:r>
      <w:r>
        <w:rPr>
          <w:lang w:val="en-US"/>
        </w:rPr>
        <w:tab/>
        <w:t>Inter-operable WebRTC services</w:t>
      </w:r>
    </w:p>
    <w:p w14:paraId="646F0AE1" w14:textId="03E0F6F3" w:rsidR="001A42A4" w:rsidRPr="00F2666E" w:rsidRDefault="00D7320F" w:rsidP="00D7320F">
      <w:pPr>
        <w:rPr>
          <w:lang w:val="en-US"/>
        </w:rPr>
      </w:pPr>
      <w:r>
        <w:rPr>
          <w:lang w:val="en-US"/>
        </w:rPr>
        <w:t xml:space="preserve">As an extension of previous collaboration scenario, a globally inter-operable WebRTC service is provided, where </w:t>
      </w:r>
      <w:r w:rsidR="00982299">
        <w:rPr>
          <w:lang w:val="en-US"/>
        </w:rPr>
        <w:t xml:space="preserve">mobile users from different MNOs </w:t>
      </w:r>
      <w:proofErr w:type="gramStart"/>
      <w:r w:rsidR="00982299">
        <w:rPr>
          <w:lang w:val="en-US"/>
        </w:rPr>
        <w:t>are able to</w:t>
      </w:r>
      <w:proofErr w:type="gramEnd"/>
      <w:r w:rsidR="00982299">
        <w:rPr>
          <w:lang w:val="en-US"/>
        </w:rPr>
        <w:t xml:space="preserve"> join the same service and benefit from the 5G system support for better end-to-end quality of service. In this collaboration scenario, the WebRTC functions are hosted by one or more MNOs.</w:t>
      </w:r>
    </w:p>
    <w:p w14:paraId="175F8BA5" w14:textId="77777777" w:rsidR="006E75DC" w:rsidRDefault="006E75DC" w:rsidP="006E75DC">
      <w:pPr>
        <w:rPr>
          <w:lang w:val="en-US"/>
        </w:rPr>
      </w:pPr>
      <w:r>
        <w:rPr>
          <w:lang w:val="en-US"/>
        </w:rPr>
        <w:t>The following figure depicts this collaboration scenario:</w:t>
      </w:r>
    </w:p>
    <w:p w14:paraId="477D07B1" w14:textId="77777777" w:rsidR="006E75DC" w:rsidRDefault="006E75DC" w:rsidP="006E75DC">
      <w:pPr>
        <w:rPr>
          <w:lang w:val="en-US"/>
        </w:rPr>
      </w:pPr>
    </w:p>
    <w:p w14:paraId="703B97C1" w14:textId="2A7F1171" w:rsidR="00E87A4B" w:rsidRPr="00CD5384" w:rsidRDefault="006E75DC" w:rsidP="00E87A4B">
      <w:pPr>
        <w:rPr>
          <w:lang w:val="en-US"/>
        </w:rPr>
      </w:pPr>
      <w:r>
        <w:rPr>
          <w:noProof/>
          <w:lang w:val="en-US"/>
        </w:rPr>
      </w:r>
      <w:r>
        <w:rPr>
          <w:lang w:val="en-US"/>
        </w:rPr>
        <w:pict w14:anchorId="49D70E08">
          <v:shape id="_x0000_s2071" type="#_x0000_t75" style="width:493.05pt;height:157.4pt;mso-left-percent:-10001;mso-top-percent:-10001;mso-position-horizontal:absolute;mso-position-horizontal-relative:char;mso-position-vertical:absolute;mso-position-vertical-relative:line;mso-left-percent:-10001;mso-top-percent:-10001">
            <v:imagedata r:id="rId14" o:title=""/>
            <w10:anchorlock/>
          </v:shape>
        </w:pict>
      </w:r>
    </w:p>
    <w:p w14:paraId="31DFDB63" w14:textId="77777777" w:rsidR="00583965" w:rsidRDefault="00583965" w:rsidP="007D1D47">
      <w:pPr>
        <w:pStyle w:val="Heading1"/>
        <w:numPr>
          <w:ilvl w:val="0"/>
          <w:numId w:val="3"/>
        </w:numPr>
      </w:pPr>
      <w:r>
        <w:t>Proposal</w:t>
      </w:r>
    </w:p>
    <w:p w14:paraId="73F02001" w14:textId="344414DE" w:rsidR="00F17FCB" w:rsidRDefault="00583965" w:rsidP="00DE5141">
      <w:pPr>
        <w:rPr>
          <w:lang w:val="en-US"/>
        </w:rPr>
      </w:pPr>
      <w:r>
        <w:rPr>
          <w:lang w:val="en-US"/>
        </w:rPr>
        <w:t>We propose to</w:t>
      </w:r>
      <w:r w:rsidR="00DF13C0">
        <w:rPr>
          <w:lang w:val="en-US"/>
        </w:rPr>
        <w:t xml:space="preserve"> agree the collaboration scenarios and document them in the PD</w:t>
      </w:r>
      <w:r w:rsidR="00DE5141">
        <w:rPr>
          <w:lang w:val="en-US"/>
        </w:rPr>
        <w:t>.</w:t>
      </w:r>
    </w:p>
    <w:sectPr w:rsidR="00F17FC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E5E9B" w14:textId="77777777" w:rsidR="00270958" w:rsidRDefault="00270958">
      <w:r>
        <w:separator/>
      </w:r>
    </w:p>
  </w:endnote>
  <w:endnote w:type="continuationSeparator" w:id="0">
    <w:p w14:paraId="52315D7E" w14:textId="77777777" w:rsidR="00270958" w:rsidRDefault="0027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BF6A" w14:textId="77777777" w:rsidR="00270958" w:rsidRDefault="00270958">
      <w:r>
        <w:separator/>
      </w:r>
    </w:p>
  </w:footnote>
  <w:footnote w:type="continuationSeparator" w:id="0">
    <w:p w14:paraId="13E4E958" w14:textId="77777777" w:rsidR="00270958" w:rsidRDefault="0027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F6CCD94"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D65B07">
      <w:rPr>
        <w:rFonts w:ascii="Arial" w:eastAsia="SimSun" w:hAnsi="Arial" w:cs="Arial"/>
        <w:b/>
        <w:i/>
        <w:sz w:val="28"/>
        <w:szCs w:val="28"/>
      </w:rPr>
      <w:t>511</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512959">
    <w:abstractNumId w:val="10"/>
  </w:num>
  <w:num w:numId="2" w16cid:durableId="1610508193">
    <w:abstractNumId w:val="7"/>
  </w:num>
  <w:num w:numId="3" w16cid:durableId="4791530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2468453">
    <w:abstractNumId w:val="5"/>
  </w:num>
  <w:num w:numId="5" w16cid:durableId="966936616">
    <w:abstractNumId w:val="2"/>
  </w:num>
  <w:num w:numId="6" w16cid:durableId="1100684391">
    <w:abstractNumId w:val="3"/>
  </w:num>
  <w:num w:numId="7" w16cid:durableId="1397119195">
    <w:abstractNumId w:val="4"/>
  </w:num>
  <w:num w:numId="8" w16cid:durableId="576943175">
    <w:abstractNumId w:val="0"/>
  </w:num>
  <w:num w:numId="9" w16cid:durableId="311176980">
    <w:abstractNumId w:val="1"/>
  </w:num>
  <w:num w:numId="10" w16cid:durableId="77675319">
    <w:abstractNumId w:val="10"/>
  </w:num>
  <w:num w:numId="11" w16cid:durableId="762805200">
    <w:abstractNumId w:val="8"/>
  </w:num>
  <w:num w:numId="12" w16cid:durableId="714349894">
    <w:abstractNumId w:val="9"/>
  </w:num>
  <w:num w:numId="13" w16cid:durableId="437142511">
    <w:abstractNumId w:val="10"/>
  </w:num>
  <w:num w:numId="14" w16cid:durableId="48400777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387</Words>
  <Characters>2210</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2022-04-11T23:51:00Z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