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25EC38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F231D">
        <w:rPr>
          <w:rFonts w:ascii="Arial" w:hAnsi="Arial" w:cs="Arial"/>
          <w:b/>
          <w:bCs/>
          <w:szCs w:val="24"/>
          <w:lang w:val="pt-BR"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AB72FF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73259">
        <w:rPr>
          <w:rFonts w:ascii="Arial" w:hAnsi="Arial" w:cs="Arial"/>
          <w:b/>
          <w:szCs w:val="24"/>
          <w:lang w:val="en-US" w:eastAsia="ja-JP"/>
        </w:rPr>
        <w:t xml:space="preserve">On the Mismatch of IP Address Types and PDU Set Size </w:t>
      </w:r>
      <w:r w:rsidR="00F74453">
        <w:rPr>
          <w:rFonts w:ascii="Arial" w:hAnsi="Arial" w:cs="Arial"/>
          <w:b/>
          <w:szCs w:val="24"/>
          <w:lang w:val="en-US" w:eastAsia="ja-JP"/>
        </w:rPr>
        <w:t>Adjustment</w:t>
      </w:r>
      <w:r w:rsidR="00273259">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7A2DED8D" w14:textId="77777777" w:rsidR="00DA1547" w:rsidRDefault="00273259" w:rsidP="00DA1547">
      <w:pPr>
        <w:rPr>
          <w:lang w:val="en-US"/>
        </w:rPr>
      </w:pPr>
      <w:r>
        <w:rPr>
          <w:lang w:val="en-US"/>
        </w:rPr>
        <w:t>The PDU Set Size (</w:t>
      </w:r>
      <w:proofErr w:type="spellStart"/>
      <w:r>
        <w:rPr>
          <w:lang w:val="en-US"/>
        </w:rPr>
        <w:t>PSSize</w:t>
      </w:r>
      <w:proofErr w:type="spellEnd"/>
      <w:r>
        <w:rPr>
          <w:lang w:val="en-US"/>
        </w:rPr>
        <w:t xml:space="preserve">) is calculated at the </w:t>
      </w:r>
      <w:r w:rsidR="00503824">
        <w:rPr>
          <w:lang w:val="en-US"/>
        </w:rPr>
        <w:t xml:space="preserve">RTP packet </w:t>
      </w:r>
      <w:r>
        <w:rPr>
          <w:lang w:val="en-US"/>
        </w:rPr>
        <w:t>source based on the local IP address type (i.e., IPv4 or IPv6). There may be NAT64 or NAT46 between the source and the UPF</w:t>
      </w:r>
      <w:r w:rsidR="009F232D">
        <w:rPr>
          <w:lang w:val="en-US"/>
        </w:rPr>
        <w:t xml:space="preserve"> and may cause a mismatch between the local IP address type and the public IP address type</w:t>
      </w:r>
      <w:r>
        <w:rPr>
          <w:lang w:val="en-US"/>
        </w:rPr>
        <w:t xml:space="preserve">. As a result, the actual </w:t>
      </w:r>
      <w:proofErr w:type="spellStart"/>
      <w:r>
        <w:rPr>
          <w:lang w:val="en-US"/>
        </w:rPr>
        <w:t>PSSize</w:t>
      </w:r>
      <w:proofErr w:type="spellEnd"/>
      <w:r>
        <w:rPr>
          <w:lang w:val="en-US"/>
        </w:rPr>
        <w:t xml:space="preserve"> at the UPF </w:t>
      </w:r>
      <w:r w:rsidR="00503824">
        <w:rPr>
          <w:lang w:val="en-US"/>
        </w:rPr>
        <w:t>may be</w:t>
      </w:r>
      <w:r>
        <w:rPr>
          <w:lang w:val="en-US"/>
        </w:rPr>
        <w:t xml:space="preserve"> different from th</w:t>
      </w:r>
      <w:r w:rsidR="00503824">
        <w:rPr>
          <w:lang w:val="en-US"/>
        </w:rPr>
        <w:t xml:space="preserve">e </w:t>
      </w:r>
      <w:proofErr w:type="spellStart"/>
      <w:r w:rsidR="00503824">
        <w:rPr>
          <w:lang w:val="en-US"/>
        </w:rPr>
        <w:t>PSSize</w:t>
      </w:r>
      <w:proofErr w:type="spellEnd"/>
      <w:r>
        <w:rPr>
          <w:lang w:val="en-US"/>
        </w:rPr>
        <w:t xml:space="preserve"> computed by the source and carried in the RTP header extension.</w:t>
      </w:r>
      <w:r w:rsidR="00F768C5">
        <w:rPr>
          <w:lang w:val="en-US"/>
        </w:rPr>
        <w:t xml:space="preserve"> The UPF needs to know the local IP address type to adjust the </w:t>
      </w:r>
      <w:proofErr w:type="spellStart"/>
      <w:r w:rsidR="00F768C5">
        <w:rPr>
          <w:lang w:val="en-US"/>
        </w:rPr>
        <w:t>PSSize</w:t>
      </w:r>
      <w:proofErr w:type="spellEnd"/>
      <w:r w:rsidR="00F768C5">
        <w:rPr>
          <w:lang w:val="en-US"/>
        </w:rPr>
        <w:t>.</w:t>
      </w:r>
      <w:r w:rsidR="00503824">
        <w:rPr>
          <w:lang w:val="en-US"/>
        </w:rPr>
        <w:t xml:space="preserve"> </w:t>
      </w:r>
    </w:p>
    <w:p w14:paraId="7FD2AA16" w14:textId="163D7EBA" w:rsidR="009E49B9" w:rsidRDefault="009F232D" w:rsidP="00DA1547">
      <w:r w:rsidRPr="00DA1547">
        <w:rPr>
          <w:lang w:val="en-US"/>
        </w:rPr>
        <w:t xml:space="preserve">There are two approaches to resolving the mismatch issue. </w:t>
      </w:r>
      <w:r w:rsidR="009E49B9" w:rsidRPr="00DA1547">
        <w:rPr>
          <w:lang w:val="en-US"/>
        </w:rPr>
        <w:t xml:space="preserve">The first approach </w:t>
      </w:r>
      <w:r w:rsidRPr="00DA1547">
        <w:rPr>
          <w:lang w:val="en-US"/>
        </w:rPr>
        <w:t xml:space="preserve">is to </w:t>
      </w:r>
      <w:r w:rsidR="00A54314" w:rsidRPr="00DA1547">
        <w:rPr>
          <w:lang w:val="en-US"/>
        </w:rPr>
        <w:t>revise</w:t>
      </w:r>
      <w:r w:rsidRPr="00DA1547">
        <w:rPr>
          <w:lang w:val="en-US"/>
        </w:rPr>
        <w:t xml:space="preserve"> the </w:t>
      </w:r>
      <w:r w:rsidR="00A54314" w:rsidRPr="00DA1547">
        <w:rPr>
          <w:lang w:val="en-US"/>
        </w:rPr>
        <w:t xml:space="preserve">RTP header extension for PDU Set marking [1] to include </w:t>
      </w:r>
      <w:r w:rsidRPr="00DA1547">
        <w:rPr>
          <w:lang w:val="en-US"/>
        </w:rPr>
        <w:t>the local IP address type</w:t>
      </w:r>
      <w:r w:rsidR="009E49B9" w:rsidRPr="00DA1547">
        <w:rPr>
          <w:lang w:val="en-US"/>
        </w:rPr>
        <w:t>.</w:t>
      </w:r>
      <w:r w:rsidR="006568CE" w:rsidRPr="00DA1547">
        <w:rPr>
          <w:lang w:val="en-US"/>
        </w:rPr>
        <w:t xml:space="preserve"> The second approach is to let the AF signal the local IP address type to the UPF. However, in our view, as explained in clause 4, this is a feature/issue that we think we should discuss in Rel-19. These </w:t>
      </w:r>
      <w:r w:rsidR="000D72DA" w:rsidRPr="00DA1547">
        <w:rPr>
          <w:lang w:val="en-US"/>
        </w:rPr>
        <w:t xml:space="preserve">approaches </w:t>
      </w:r>
      <w:r w:rsidR="006568CE" w:rsidRPr="00DA1547">
        <w:rPr>
          <w:lang w:val="en-US"/>
        </w:rPr>
        <w:t xml:space="preserve">are some of the potential solutions that we are considering discussing in Rel-19. </w:t>
      </w:r>
      <w:r w:rsidR="00A54314" w:rsidRPr="00DA1547">
        <w:t xml:space="preserve">Revising </w:t>
      </w:r>
      <w:r w:rsidR="00BF5584" w:rsidRPr="00DA1547">
        <w:t>RTP header extension</w:t>
      </w:r>
      <w:r w:rsidR="00A54314" w:rsidRPr="00DA1547">
        <w:t xml:space="preserve"> for PDU Set marking</w:t>
      </w:r>
      <w:r w:rsidR="00DA1547">
        <w:t>.</w:t>
      </w:r>
    </w:p>
    <w:p w14:paraId="3C5B10A5" w14:textId="77777777" w:rsidR="00DA1547" w:rsidRDefault="00DA1547" w:rsidP="00DA1547">
      <w:pPr>
        <w:pStyle w:val="Heading1"/>
        <w:numPr>
          <w:ilvl w:val="0"/>
          <w:numId w:val="3"/>
        </w:numPr>
      </w:pPr>
      <w:r>
        <w:t xml:space="preserve">Revising RTP header extension for PDU Set </w:t>
      </w:r>
      <w:proofErr w:type="gramStart"/>
      <w:r>
        <w:t>marking</w:t>
      </w:r>
      <w:proofErr w:type="gramEnd"/>
    </w:p>
    <w:p w14:paraId="7DE2B4CD" w14:textId="2FF26AF8" w:rsidR="004920AF" w:rsidRDefault="009E49B9" w:rsidP="001C6F17">
      <w:pPr>
        <w:rPr>
          <w:lang w:val="en-US"/>
        </w:rPr>
      </w:pPr>
      <w:r>
        <w:rPr>
          <w:lang w:val="en-US"/>
        </w:rPr>
        <w:t>The current PDU Set information is carried in an RTP header extension</w:t>
      </w:r>
      <w:r w:rsidR="00F768C5">
        <w:rPr>
          <w:lang w:val="en-US"/>
        </w:rPr>
        <w:t xml:space="preserve"> [1]</w:t>
      </w:r>
      <w:r>
        <w:rPr>
          <w:lang w:val="en-US"/>
        </w:rPr>
        <w:t xml:space="preserve">. It includes the following </w:t>
      </w:r>
      <w:r w:rsidR="00F768C5">
        <w:rPr>
          <w:lang w:val="en-US"/>
        </w:rPr>
        <w:t xml:space="preserve">6 </w:t>
      </w:r>
      <w:r>
        <w:rPr>
          <w:lang w:val="en-US"/>
        </w:rPr>
        <w:t>fields</w:t>
      </w:r>
      <w:r w:rsidR="00F768C5">
        <w:rPr>
          <w:lang w:val="en-US"/>
        </w:rPr>
        <w:t xml:space="preserve">: </w:t>
      </w:r>
      <w:r w:rsidR="00F768C5" w:rsidRPr="00F768C5">
        <w:rPr>
          <w:lang w:val="en-US"/>
        </w:rPr>
        <w:t>End PDU of the PDU Set, End of Data Burst, PDU Set Importance, PDU Set Sequence Number, PDU Sequence Number within a PDU Set, PDU Set Size (</w:t>
      </w:r>
      <w:proofErr w:type="spellStart"/>
      <w:r w:rsidR="00F768C5" w:rsidRPr="00F768C5">
        <w:rPr>
          <w:lang w:val="en-US"/>
        </w:rPr>
        <w:t>PSSize</w:t>
      </w:r>
      <w:proofErr w:type="spellEnd"/>
      <w:r w:rsidR="00F768C5" w:rsidRPr="00F768C5">
        <w:rPr>
          <w:lang w:val="en-US"/>
        </w:rPr>
        <w:t>).</w:t>
      </w:r>
      <w:r w:rsidR="00F768C5">
        <w:rPr>
          <w:lang w:val="en-US"/>
        </w:rPr>
        <w:t xml:space="preserve"> For Rel-18, the RTP header extension is visible to the UPF. The source of a</w:t>
      </w:r>
      <w:r w:rsidR="00BF5584">
        <w:rPr>
          <w:lang w:val="en-US"/>
        </w:rPr>
        <w:t xml:space="preserve"> PDU set</w:t>
      </w:r>
      <w:r w:rsidR="00F768C5">
        <w:rPr>
          <w:lang w:val="en-US"/>
        </w:rPr>
        <w:t xml:space="preserve"> can add an additional field, local IP address type, </w:t>
      </w:r>
      <w:r w:rsidR="00BF5584">
        <w:rPr>
          <w:lang w:val="en-US"/>
        </w:rPr>
        <w:t>to the existing RTP packet header extension “</w:t>
      </w:r>
      <w:r w:rsidR="00BF5584">
        <w:rPr>
          <w:noProof/>
        </w:rPr>
        <w:t xml:space="preserve">RTP </w:t>
      </w:r>
      <w:r w:rsidR="00271690">
        <w:rPr>
          <w:noProof/>
        </w:rPr>
        <w:t>h</w:t>
      </w:r>
      <w:r w:rsidR="00BF5584">
        <w:rPr>
          <w:noProof/>
        </w:rPr>
        <w:t xml:space="preserve">eader </w:t>
      </w:r>
      <w:r w:rsidR="00271690">
        <w:rPr>
          <w:noProof/>
        </w:rPr>
        <w:t>e</w:t>
      </w:r>
      <w:r w:rsidR="00BF5584">
        <w:rPr>
          <w:noProof/>
        </w:rPr>
        <w:t xml:space="preserve">xtension for PDU Set </w:t>
      </w:r>
      <w:r w:rsidR="00271690">
        <w:rPr>
          <w:noProof/>
        </w:rPr>
        <w:t>m</w:t>
      </w:r>
      <w:r w:rsidR="00BF5584">
        <w:rPr>
          <w:noProof/>
        </w:rPr>
        <w:t>arking</w:t>
      </w:r>
      <w:r w:rsidR="00271690">
        <w:rPr>
          <w:noProof/>
        </w:rPr>
        <w:t>”</w:t>
      </w:r>
      <w:r w:rsidR="00BF5584">
        <w:rPr>
          <w:lang w:val="en-US"/>
        </w:rPr>
        <w:t xml:space="preserve"> </w:t>
      </w:r>
      <w:r w:rsidR="00F768C5">
        <w:rPr>
          <w:lang w:val="en-US"/>
        </w:rPr>
        <w:t xml:space="preserve">to indicate the type of the IP address based on which the </w:t>
      </w:r>
      <w:proofErr w:type="spellStart"/>
      <w:r w:rsidR="00F768C5">
        <w:rPr>
          <w:lang w:val="en-US"/>
        </w:rPr>
        <w:t>PSSize</w:t>
      </w:r>
      <w:proofErr w:type="spellEnd"/>
      <w:r w:rsidR="00F768C5">
        <w:rPr>
          <w:lang w:val="en-US"/>
        </w:rPr>
        <w:t xml:space="preserve"> is calculated. The local address type may be IPv4 or IPv6. </w:t>
      </w:r>
    </w:p>
    <w:p w14:paraId="57DF029B" w14:textId="7A6554CB" w:rsidR="004920AF" w:rsidRDefault="004920AF" w:rsidP="001C6F17">
      <w:pPr>
        <w:rPr>
          <w:lang w:val="en-US"/>
        </w:rPr>
      </w:pPr>
      <w:r>
        <w:rPr>
          <w:lang w:val="en-US"/>
        </w:rPr>
        <w:t>We propose to add the local IP address type to the RTP header extension for PDU Set marking.</w:t>
      </w:r>
      <w:r w:rsidR="00840BC9">
        <w:rPr>
          <w:lang w:val="en-US"/>
        </w:rPr>
        <w:t xml:space="preserve"> This looks very inefficient because the information will be sent in every PDU of a PDU Set. However, the required number of bits is small – 1 bit (to differentiate between IPv4 and IPv6)</w:t>
      </w:r>
      <w:r w:rsidR="00840BC9" w:rsidRPr="00840BC9">
        <w:rPr>
          <w:lang w:val="en-US"/>
        </w:rPr>
        <w:t xml:space="preserve"> </w:t>
      </w:r>
      <w:r w:rsidR="00840BC9">
        <w:rPr>
          <w:lang w:val="en-US"/>
        </w:rPr>
        <w:t>– and this can be absorbed by another field by shortening the latter by 1 bit. For example, if t</w:t>
      </w:r>
      <w:r>
        <w:rPr>
          <w:lang w:val="en-US"/>
        </w:rPr>
        <w:t xml:space="preserve">he number of PDUs is </w:t>
      </w:r>
      <w:r w:rsidR="00840BC9">
        <w:rPr>
          <w:lang w:val="en-US"/>
        </w:rPr>
        <w:t xml:space="preserve">added as a field to the RTP header extension for PDU Set marking in Rel-19, the field may take 16 bits (8 bits are too few and 24 bits are too many). 16 bits may be still </w:t>
      </w:r>
      <w:r w:rsidR="0006584A">
        <w:rPr>
          <w:lang w:val="en-US"/>
        </w:rPr>
        <w:t xml:space="preserve">more than enough. </w:t>
      </w:r>
      <w:r w:rsidR="00840BC9">
        <w:rPr>
          <w:lang w:val="en-US"/>
        </w:rPr>
        <w:t>We could reduce the number of bits by 1 and use the 1 bit for the local IP address signaling.</w:t>
      </w:r>
    </w:p>
    <w:p w14:paraId="3A330492" w14:textId="4E77C19A" w:rsidR="00823991" w:rsidRDefault="00823991" w:rsidP="001C6F17">
      <w:pPr>
        <w:rPr>
          <w:lang w:val="en-US"/>
        </w:rPr>
      </w:pPr>
      <w:r>
        <w:rPr>
          <w:lang w:val="en-US"/>
        </w:rPr>
        <w:t>In terms of the standardization process, this approach has the advantage of being to be done within 3GPP, without getting other standards organizations such as IETF involved in the second approach.</w:t>
      </w:r>
    </w:p>
    <w:p w14:paraId="71B807E6" w14:textId="5C9A3316" w:rsidR="009E49B9" w:rsidRDefault="00BF5584" w:rsidP="009E49B9">
      <w:pPr>
        <w:pStyle w:val="Heading1"/>
        <w:numPr>
          <w:ilvl w:val="0"/>
          <w:numId w:val="3"/>
        </w:numPr>
      </w:pPr>
      <w:r>
        <w:lastRenderedPageBreak/>
        <w:t xml:space="preserve">AF </w:t>
      </w:r>
      <w:r w:rsidR="009E49B9">
        <w:t>Signaling</w:t>
      </w:r>
    </w:p>
    <w:p w14:paraId="10D29D2B" w14:textId="2CB4D18E" w:rsidR="00F62F09" w:rsidRDefault="009E49B9" w:rsidP="001C6F17">
      <w:r>
        <w:rPr>
          <w:lang w:val="en-US"/>
        </w:rPr>
        <w:t>In this approach, t</w:t>
      </w:r>
      <w:r w:rsidR="00273259">
        <w:rPr>
          <w:lang w:val="en-US"/>
        </w:rPr>
        <w:t>here are two problems to solve. F</w:t>
      </w:r>
      <w:r w:rsidR="00503824">
        <w:rPr>
          <w:lang w:val="en-US"/>
        </w:rPr>
        <w:t xml:space="preserve">irst, how does the </w:t>
      </w:r>
      <w:r w:rsidR="00273259">
        <w:rPr>
          <w:lang w:val="en-US"/>
        </w:rPr>
        <w:t>AF obtain the local IP address type</w:t>
      </w:r>
      <w:r w:rsidR="00503824">
        <w:rPr>
          <w:lang w:val="en-US"/>
        </w:rPr>
        <w:t>?</w:t>
      </w:r>
      <w:r w:rsidR="00273259">
        <w:rPr>
          <w:lang w:val="en-US"/>
        </w:rPr>
        <w:t xml:space="preserve"> When</w:t>
      </w:r>
      <w:r w:rsidR="001C6F17">
        <w:rPr>
          <w:lang w:val="en-US"/>
        </w:rPr>
        <w:t xml:space="preserve"> an endpoint (e.g., the</w:t>
      </w:r>
      <w:r w:rsidR="00273259">
        <w:rPr>
          <w:lang w:val="en-US"/>
        </w:rPr>
        <w:t xml:space="preserve"> source</w:t>
      </w:r>
      <w:r w:rsidR="001C6F17">
        <w:rPr>
          <w:lang w:val="en-US"/>
        </w:rPr>
        <w:t>)</w:t>
      </w:r>
      <w:r w:rsidR="00273259">
        <w:rPr>
          <w:lang w:val="en-US"/>
        </w:rPr>
        <w:t xml:space="preserve"> is </w:t>
      </w:r>
      <w:r w:rsidR="00503824">
        <w:rPr>
          <w:lang w:val="en-US"/>
        </w:rPr>
        <w:t>outside the 5G system, its</w:t>
      </w:r>
      <w:r w:rsidR="00273259">
        <w:rPr>
          <w:lang w:val="en-US"/>
        </w:rPr>
        <w:t xml:space="preserve"> local IP address type </w:t>
      </w:r>
      <w:r w:rsidR="00503824">
        <w:rPr>
          <w:lang w:val="en-US"/>
        </w:rPr>
        <w:t xml:space="preserve">information </w:t>
      </w:r>
      <w:r w:rsidR="00273259">
        <w:rPr>
          <w:lang w:val="en-US"/>
        </w:rPr>
        <w:t>is not available</w:t>
      </w:r>
      <w:r w:rsidR="001C6F17">
        <w:rPr>
          <w:lang w:val="en-US"/>
        </w:rPr>
        <w:t xml:space="preserve"> to the AF</w:t>
      </w:r>
      <w:r w:rsidR="00273259">
        <w:rPr>
          <w:lang w:val="en-US"/>
        </w:rPr>
        <w:t xml:space="preserve">. Second, </w:t>
      </w:r>
      <w:r w:rsidR="001C6F17">
        <w:rPr>
          <w:lang w:val="en-US"/>
        </w:rPr>
        <w:t xml:space="preserve">how does the </w:t>
      </w:r>
      <w:r w:rsidR="00273259">
        <w:rPr>
          <w:lang w:val="en-US"/>
        </w:rPr>
        <w:t>AF signal the local IP address type to the UPF</w:t>
      </w:r>
      <w:r w:rsidR="001C6F17">
        <w:rPr>
          <w:lang w:val="en-US"/>
        </w:rPr>
        <w:t>?</w:t>
      </w:r>
      <w:r w:rsidR="00273259">
        <w:rPr>
          <w:lang w:val="en-US"/>
        </w:rPr>
        <w:t xml:space="preserve"> We discuss these two problems and propose solutions.</w:t>
      </w:r>
      <w:bookmarkEnd w:id="0"/>
      <w:r w:rsidR="00623F7A">
        <w:t xml:space="preserve">  </w:t>
      </w:r>
    </w:p>
    <w:p w14:paraId="0FC86833" w14:textId="71023915" w:rsidR="001C6F17" w:rsidRDefault="001C6F17" w:rsidP="009E49B9">
      <w:pPr>
        <w:pStyle w:val="Heading1"/>
        <w:numPr>
          <w:ilvl w:val="1"/>
          <w:numId w:val="3"/>
        </w:numPr>
      </w:pPr>
      <w:r>
        <w:t xml:space="preserve">Obtaining the local IP address type </w:t>
      </w:r>
    </w:p>
    <w:p w14:paraId="686375BA" w14:textId="4BC9D607" w:rsidR="006F305F" w:rsidRDefault="00953CED" w:rsidP="001C6F17">
      <w:pPr>
        <w:rPr>
          <w:lang w:val="en-US"/>
        </w:rPr>
      </w:pPr>
      <w:r>
        <w:rPr>
          <w:lang w:val="en-US"/>
        </w:rPr>
        <w:t xml:space="preserve">SDP signaling </w:t>
      </w:r>
      <w:r w:rsidR="006F305F">
        <w:rPr>
          <w:lang w:val="en-US"/>
        </w:rPr>
        <w:t>as described in RFC 8866 [</w:t>
      </w:r>
      <w:r w:rsidR="00F768C5">
        <w:rPr>
          <w:lang w:val="en-US"/>
        </w:rPr>
        <w:t>2</w:t>
      </w:r>
      <w:r w:rsidR="006F305F">
        <w:rPr>
          <w:lang w:val="en-US"/>
        </w:rPr>
        <w:t xml:space="preserve">] </w:t>
      </w:r>
      <w:r>
        <w:rPr>
          <w:lang w:val="en-US"/>
        </w:rPr>
        <w:t>carr</w:t>
      </w:r>
      <w:r w:rsidR="008F6E71">
        <w:rPr>
          <w:lang w:val="en-US"/>
        </w:rPr>
        <w:t>ies</w:t>
      </w:r>
      <w:r>
        <w:rPr>
          <w:lang w:val="en-US"/>
        </w:rPr>
        <w:t xml:space="preserve"> the IP address information of the endpoints (</w:t>
      </w:r>
      <w:r w:rsidR="006F305F">
        <w:rPr>
          <w:lang w:val="en-US"/>
        </w:rPr>
        <w:t xml:space="preserve">i.e., </w:t>
      </w:r>
      <w:r>
        <w:rPr>
          <w:lang w:val="en-US"/>
        </w:rPr>
        <w:t xml:space="preserve">source and destination). The local IP address information </w:t>
      </w:r>
      <w:r w:rsidR="00D1411E">
        <w:rPr>
          <w:lang w:val="en-US"/>
        </w:rPr>
        <w:t>is not</w:t>
      </w:r>
      <w:r>
        <w:rPr>
          <w:lang w:val="en-US"/>
        </w:rPr>
        <w:t xml:space="preserve"> included in the signaling, </w:t>
      </w:r>
      <w:r w:rsidR="00D1411E">
        <w:rPr>
          <w:lang w:val="en-US"/>
        </w:rPr>
        <w:t>although practical implementations may deviate from this</w:t>
      </w:r>
      <w:r>
        <w:rPr>
          <w:lang w:val="en-US"/>
        </w:rPr>
        <w:t xml:space="preserve">. </w:t>
      </w:r>
      <w:r w:rsidR="00827E0F">
        <w:rPr>
          <w:lang w:val="en-US"/>
        </w:rPr>
        <w:t>T</w:t>
      </w:r>
      <w:r>
        <w:rPr>
          <w:lang w:val="en-US"/>
        </w:rPr>
        <w:t>wo attributes “o=” and “c=” can carry IP address information</w:t>
      </w:r>
      <w:r w:rsidR="00D1411E">
        <w:rPr>
          <w:lang w:val="en-US"/>
        </w:rPr>
        <w:t xml:space="preserve"> </w:t>
      </w:r>
      <w:r w:rsidR="00D2312F">
        <w:rPr>
          <w:lang w:val="en-US"/>
        </w:rPr>
        <w:t xml:space="preserve">(including the network type, the address type, and the connection address) </w:t>
      </w:r>
      <w:r w:rsidR="00D1411E">
        <w:rPr>
          <w:lang w:val="en-US"/>
        </w:rPr>
        <w:t xml:space="preserve">that </w:t>
      </w:r>
      <w:r w:rsidR="00D2312F">
        <w:rPr>
          <w:lang w:val="en-US"/>
        </w:rPr>
        <w:t xml:space="preserve">is </w:t>
      </w:r>
      <w:r w:rsidR="00D2312F" w:rsidRPr="00D2312F">
        <w:rPr>
          <w:lang w:val="en-US"/>
        </w:rPr>
        <w:t>necessary to establish a network connection</w:t>
      </w:r>
      <w:r w:rsidR="00D2312F">
        <w:rPr>
          <w:lang w:val="en-US"/>
        </w:rPr>
        <w:t xml:space="preserve">, and hence </w:t>
      </w:r>
      <w:r w:rsidR="00D1411E">
        <w:rPr>
          <w:lang w:val="en-US"/>
        </w:rPr>
        <w:t>the information is</w:t>
      </w:r>
      <w:r w:rsidR="00D2312F">
        <w:rPr>
          <w:lang w:val="en-US"/>
        </w:rPr>
        <w:t xml:space="preserve"> </w:t>
      </w:r>
      <w:r w:rsidR="00FC12D7">
        <w:rPr>
          <w:lang w:val="en-US"/>
        </w:rPr>
        <w:t xml:space="preserve">on the </w:t>
      </w:r>
      <w:r w:rsidR="00D2312F">
        <w:rPr>
          <w:lang w:val="en-US"/>
        </w:rPr>
        <w:t xml:space="preserve">public IP address information when the session traverses a public network. The </w:t>
      </w:r>
      <w:r w:rsidR="006F305F">
        <w:rPr>
          <w:lang w:val="en-US"/>
        </w:rPr>
        <w:t xml:space="preserve">“o=” attribute also contains address information, including the network type, the address type, and the unicast address. The unicast address may be a </w:t>
      </w:r>
      <w:r w:rsidR="006F305F" w:rsidRPr="006F305F">
        <w:rPr>
          <w:lang w:val="en-US"/>
        </w:rPr>
        <w:t xml:space="preserve">fully qualified domain name </w:t>
      </w:r>
      <w:r w:rsidR="006F305F">
        <w:rPr>
          <w:lang w:val="en-US"/>
        </w:rPr>
        <w:t>or a</w:t>
      </w:r>
      <w:r w:rsidR="00D1411E">
        <w:rPr>
          <w:lang w:val="en-US"/>
        </w:rPr>
        <w:t>n</w:t>
      </w:r>
      <w:r w:rsidR="006F305F">
        <w:rPr>
          <w:lang w:val="en-US"/>
        </w:rPr>
        <w:t xml:space="preserve"> IP address, and </w:t>
      </w:r>
      <w:r w:rsidR="00FC12D7">
        <w:rPr>
          <w:lang w:val="en-US"/>
        </w:rPr>
        <w:t xml:space="preserve">it is stated in RFC 8866 [2] that </w:t>
      </w:r>
      <w:r w:rsidR="006F305F">
        <w:rPr>
          <w:lang w:val="en-US"/>
        </w:rPr>
        <w:t>“</w:t>
      </w:r>
      <w:r w:rsidR="006F305F" w:rsidRPr="006F305F">
        <w:rPr>
          <w:lang w:val="en-US"/>
        </w:rPr>
        <w:t>the fully qualified domain name is the form that SHOULD be given unless this is unavailable, in which case a globally unique address MAY be substituted</w:t>
      </w:r>
      <w:r w:rsidR="006F305F">
        <w:rPr>
          <w:lang w:val="en-US"/>
        </w:rPr>
        <w:t>”</w:t>
      </w:r>
      <w:r w:rsidR="006F305F" w:rsidRPr="006F305F">
        <w:rPr>
          <w:lang w:val="en-US"/>
        </w:rPr>
        <w:t>.</w:t>
      </w:r>
      <w:r w:rsidR="006F305F">
        <w:rPr>
          <w:lang w:val="en-US"/>
        </w:rPr>
        <w:t xml:space="preserve"> That is, the address information carried in the “o=” attribute should be public IP address</w:t>
      </w:r>
      <w:r w:rsidR="00D1411E">
        <w:rPr>
          <w:lang w:val="en-US"/>
        </w:rPr>
        <w:t xml:space="preserve"> information</w:t>
      </w:r>
      <w:r w:rsidR="006F305F">
        <w:rPr>
          <w:lang w:val="en-US"/>
        </w:rPr>
        <w:t>, although in practice sometimes the private/local IP address information is used</w:t>
      </w:r>
      <w:r w:rsidR="00D1411E">
        <w:rPr>
          <w:lang w:val="en-US"/>
        </w:rPr>
        <w:t xml:space="preserve"> instead</w:t>
      </w:r>
      <w:r w:rsidR="006F305F">
        <w:rPr>
          <w:lang w:val="en-US"/>
        </w:rPr>
        <w:t>.</w:t>
      </w:r>
    </w:p>
    <w:p w14:paraId="7AFD9C36" w14:textId="2FFF1B8A" w:rsidR="00751141" w:rsidRDefault="00AF6F8B" w:rsidP="00751141">
      <w:pPr>
        <w:rPr>
          <w:lang w:val="en-US"/>
        </w:rPr>
      </w:pPr>
      <w:r>
        <w:rPr>
          <w:lang w:val="en-US"/>
        </w:rPr>
        <w:t xml:space="preserve">When ICE </w:t>
      </w:r>
      <w:r w:rsidR="00827E0F">
        <w:rPr>
          <w:lang w:val="en-US"/>
        </w:rPr>
        <w:t>[</w:t>
      </w:r>
      <w:r w:rsidR="00F768C5">
        <w:rPr>
          <w:lang w:val="en-US"/>
        </w:rPr>
        <w:t>3</w:t>
      </w:r>
      <w:r w:rsidR="00827E0F">
        <w:rPr>
          <w:lang w:val="en-US"/>
        </w:rPr>
        <w:t xml:space="preserve">] </w:t>
      </w:r>
      <w:r>
        <w:rPr>
          <w:lang w:val="en-US"/>
        </w:rPr>
        <w:t xml:space="preserve">is used to assist the establishment of an RTP session, </w:t>
      </w:r>
      <w:r w:rsidR="00AD6941">
        <w:rPr>
          <w:lang w:val="en-US"/>
        </w:rPr>
        <w:t xml:space="preserve">the private IP addresses may or may not be exchanged in the SDP </w:t>
      </w:r>
      <w:r w:rsidR="00827E0F">
        <w:rPr>
          <w:lang w:val="en-US"/>
        </w:rPr>
        <w:t>signaling</w:t>
      </w:r>
      <w:r w:rsidR="00AD6941">
        <w:rPr>
          <w:lang w:val="en-US"/>
        </w:rPr>
        <w:t xml:space="preserve">. </w:t>
      </w:r>
      <w:r w:rsidR="00014D2E">
        <w:rPr>
          <w:lang w:val="en-US"/>
        </w:rPr>
        <w:t xml:space="preserve">Besides the “o=” attribute and the “c=” attribute, </w:t>
      </w:r>
      <w:r w:rsidR="00742970">
        <w:rPr>
          <w:lang w:val="en-US"/>
        </w:rPr>
        <w:t>SDP signaling</w:t>
      </w:r>
      <w:r w:rsidR="00014D2E">
        <w:rPr>
          <w:lang w:val="en-US"/>
        </w:rPr>
        <w:t xml:space="preserve"> exchange</w:t>
      </w:r>
      <w:r w:rsidR="00742970">
        <w:rPr>
          <w:lang w:val="en-US"/>
        </w:rPr>
        <w:t>s</w:t>
      </w:r>
      <w:r w:rsidR="00014D2E">
        <w:rPr>
          <w:lang w:val="en-US"/>
        </w:rPr>
        <w:t xml:space="preserve"> the </w:t>
      </w:r>
      <w:r>
        <w:rPr>
          <w:lang w:val="en-US"/>
        </w:rPr>
        <w:t xml:space="preserve">candidate transport addresses (each consisting of an IP address and a port number). </w:t>
      </w:r>
      <w:r w:rsidR="004A06EA">
        <w:rPr>
          <w:lang w:val="en-US"/>
        </w:rPr>
        <w:t>T</w:t>
      </w:r>
      <w:r w:rsidR="00827E0F">
        <w:rPr>
          <w:lang w:val="en-US"/>
        </w:rPr>
        <w:t xml:space="preserve">he “candidate” attribute </w:t>
      </w:r>
      <w:r w:rsidR="00C97CB9">
        <w:rPr>
          <w:lang w:val="en-US"/>
        </w:rPr>
        <w:t xml:space="preserve">includes a candidate type </w:t>
      </w:r>
      <w:r w:rsidR="0089395E">
        <w:rPr>
          <w:lang w:val="en-US"/>
        </w:rPr>
        <w:t xml:space="preserve">(“cand-type”) </w:t>
      </w:r>
      <w:r w:rsidR="00C97CB9">
        <w:rPr>
          <w:lang w:val="en-US"/>
        </w:rPr>
        <w:t>field</w:t>
      </w:r>
      <w:r w:rsidR="0089395E">
        <w:rPr>
          <w:lang w:val="en-US"/>
        </w:rPr>
        <w:t xml:space="preserve">, </w:t>
      </w:r>
      <w:r w:rsidR="00C97CB9">
        <w:rPr>
          <w:lang w:val="en-US"/>
        </w:rPr>
        <w:t xml:space="preserve">a </w:t>
      </w:r>
      <w:r w:rsidR="00C97CB9" w:rsidRPr="00C97CB9">
        <w:rPr>
          <w:lang w:val="en-US"/>
        </w:rPr>
        <w:t>connection</w:t>
      </w:r>
      <w:r w:rsidR="00C97CB9">
        <w:rPr>
          <w:lang w:val="en-US"/>
        </w:rPr>
        <w:t xml:space="preserve"> </w:t>
      </w:r>
      <w:r w:rsidR="00C97CB9" w:rsidRPr="00C97CB9">
        <w:rPr>
          <w:lang w:val="en-US"/>
        </w:rPr>
        <w:t>address</w:t>
      </w:r>
      <w:r w:rsidR="00C97CB9">
        <w:rPr>
          <w:lang w:val="en-US"/>
        </w:rPr>
        <w:t xml:space="preserve"> </w:t>
      </w:r>
      <w:r w:rsidR="0089395E">
        <w:rPr>
          <w:lang w:val="en-US"/>
        </w:rPr>
        <w:t>(“</w:t>
      </w:r>
      <w:r w:rsidR="0089395E" w:rsidRPr="00C97CB9">
        <w:rPr>
          <w:lang w:val="en-US"/>
        </w:rPr>
        <w:t>connection</w:t>
      </w:r>
      <w:r w:rsidR="0089395E">
        <w:rPr>
          <w:lang w:val="en-US"/>
        </w:rPr>
        <w:t>-</w:t>
      </w:r>
      <w:r w:rsidR="0089395E" w:rsidRPr="00C97CB9">
        <w:rPr>
          <w:lang w:val="en-US"/>
        </w:rPr>
        <w:t>address</w:t>
      </w:r>
      <w:r w:rsidR="0089395E">
        <w:rPr>
          <w:lang w:val="en-US"/>
        </w:rPr>
        <w:t xml:space="preserve">”) </w:t>
      </w:r>
      <w:r w:rsidR="00C97CB9">
        <w:rPr>
          <w:lang w:val="en-US"/>
        </w:rPr>
        <w:t>field</w:t>
      </w:r>
      <w:r w:rsidR="0089395E">
        <w:rPr>
          <w:lang w:val="en-US"/>
        </w:rPr>
        <w:t>, a related address (“</w:t>
      </w:r>
      <w:proofErr w:type="spellStart"/>
      <w:r w:rsidR="0089395E">
        <w:rPr>
          <w:lang w:val="en-US"/>
        </w:rPr>
        <w:t>rel-addr</w:t>
      </w:r>
      <w:proofErr w:type="spellEnd"/>
      <w:r w:rsidR="0089395E">
        <w:rPr>
          <w:lang w:val="en-US"/>
        </w:rPr>
        <w:t>”) field and a related port (“</w:t>
      </w:r>
      <w:proofErr w:type="spellStart"/>
      <w:r w:rsidR="0089395E">
        <w:rPr>
          <w:lang w:val="en-US"/>
        </w:rPr>
        <w:t>rel</w:t>
      </w:r>
      <w:proofErr w:type="spellEnd"/>
      <w:r w:rsidR="0089395E">
        <w:rPr>
          <w:lang w:val="en-US"/>
        </w:rPr>
        <w:t>-port”) field among other fields</w:t>
      </w:r>
      <w:r w:rsidR="00C97CB9">
        <w:rPr>
          <w:lang w:val="en-US"/>
        </w:rPr>
        <w:t>. I</w:t>
      </w:r>
      <w:r w:rsidR="0089395E">
        <w:rPr>
          <w:lang w:val="en-US"/>
        </w:rPr>
        <w:t xml:space="preserve">n the case of STUN (cand-type = </w:t>
      </w:r>
      <w:proofErr w:type="spellStart"/>
      <w:r w:rsidR="0089395E">
        <w:rPr>
          <w:lang w:val="en-US"/>
        </w:rPr>
        <w:t>srflx</w:t>
      </w:r>
      <w:proofErr w:type="spellEnd"/>
      <w:r w:rsidR="0089395E">
        <w:rPr>
          <w:lang w:val="en-US"/>
        </w:rPr>
        <w:t xml:space="preserve">, or </w:t>
      </w:r>
      <w:proofErr w:type="spellStart"/>
      <w:r w:rsidR="0089395E">
        <w:rPr>
          <w:lang w:val="en-US"/>
        </w:rPr>
        <w:t>prflx</w:t>
      </w:r>
      <w:proofErr w:type="spellEnd"/>
      <w:r w:rsidR="0089395E">
        <w:rPr>
          <w:lang w:val="en-US"/>
        </w:rPr>
        <w:t>), the related address (“</w:t>
      </w:r>
      <w:proofErr w:type="spellStart"/>
      <w:r w:rsidR="0089395E">
        <w:rPr>
          <w:lang w:val="en-US"/>
        </w:rPr>
        <w:t>rel-addr</w:t>
      </w:r>
      <w:proofErr w:type="spellEnd"/>
      <w:r w:rsidR="0089395E">
        <w:rPr>
          <w:lang w:val="en-US"/>
        </w:rPr>
        <w:t xml:space="preserve">”) field carries the private IP address </w:t>
      </w:r>
      <w:r w:rsidR="00751141">
        <w:rPr>
          <w:lang w:val="en-US"/>
        </w:rPr>
        <w:t>of the STUN client</w:t>
      </w:r>
      <w:r w:rsidR="0089395E">
        <w:rPr>
          <w:lang w:val="en-US"/>
        </w:rPr>
        <w:t>. However, in the case of TURN (i.e., cand-type = relay), the related address (“</w:t>
      </w:r>
      <w:proofErr w:type="spellStart"/>
      <w:r w:rsidR="0089395E">
        <w:rPr>
          <w:lang w:val="en-US"/>
        </w:rPr>
        <w:t>rel-addr</w:t>
      </w:r>
      <w:proofErr w:type="spellEnd"/>
      <w:r w:rsidR="0089395E">
        <w:rPr>
          <w:lang w:val="en-US"/>
        </w:rPr>
        <w:t>”) field carries</w:t>
      </w:r>
      <w:r w:rsidR="00953833">
        <w:rPr>
          <w:lang w:val="en-US"/>
        </w:rPr>
        <w:t xml:space="preserve"> the public IP address</w:t>
      </w:r>
      <w:r w:rsidR="00751141">
        <w:rPr>
          <w:lang w:val="en-US"/>
        </w:rPr>
        <w:t xml:space="preserve"> (i.e., </w:t>
      </w:r>
      <w:r w:rsidR="00751141" w:rsidRPr="00751141">
        <w:rPr>
          <w:lang w:val="en-US"/>
        </w:rPr>
        <w:t>the mapped address</w:t>
      </w:r>
      <w:r w:rsidR="00751141">
        <w:rPr>
          <w:lang w:val="en-US"/>
        </w:rPr>
        <w:t xml:space="preserve"> </w:t>
      </w:r>
      <w:r w:rsidR="00751141" w:rsidRPr="00751141">
        <w:rPr>
          <w:lang w:val="en-US"/>
        </w:rPr>
        <w:t>in the Allocate response</w:t>
      </w:r>
      <w:r w:rsidR="00751141">
        <w:rPr>
          <w:lang w:val="en-US"/>
        </w:rPr>
        <w:t>) of the TRUN client</w:t>
      </w:r>
      <w:r w:rsidR="00953833">
        <w:rPr>
          <w:lang w:val="en-US"/>
        </w:rPr>
        <w:t>.</w:t>
      </w:r>
    </w:p>
    <w:p w14:paraId="3C21AC2F" w14:textId="3A6F4B61" w:rsidR="001C6F17" w:rsidRDefault="00751141" w:rsidP="001C6F17">
      <w:pPr>
        <w:rPr>
          <w:lang w:val="en-US"/>
        </w:rPr>
      </w:pPr>
      <w:r>
        <w:rPr>
          <w:lang w:val="en-US"/>
        </w:rPr>
        <w:t xml:space="preserve">Given the above discussion, the private </w:t>
      </w:r>
      <w:r w:rsidR="00014D2E">
        <w:rPr>
          <w:lang w:val="en-US"/>
        </w:rPr>
        <w:t xml:space="preserve">IP </w:t>
      </w:r>
      <w:r>
        <w:rPr>
          <w:lang w:val="en-US"/>
        </w:rPr>
        <w:t xml:space="preserve">address information may or may not be available with the current SDP signaling. We propose to introduce a new </w:t>
      </w:r>
      <w:r w:rsidR="00014D2E">
        <w:rPr>
          <w:lang w:val="en-US"/>
        </w:rPr>
        <w:t xml:space="preserve">SDP </w:t>
      </w:r>
      <w:r>
        <w:rPr>
          <w:lang w:val="en-US"/>
        </w:rPr>
        <w:t xml:space="preserve">attribute to convey the private </w:t>
      </w:r>
      <w:r w:rsidR="00014D2E">
        <w:rPr>
          <w:lang w:val="en-US"/>
        </w:rPr>
        <w:t xml:space="preserve">IP </w:t>
      </w:r>
      <w:r>
        <w:rPr>
          <w:lang w:val="en-US"/>
        </w:rPr>
        <w:t>address type</w:t>
      </w:r>
      <w:r w:rsidR="00014D2E">
        <w:rPr>
          <w:lang w:val="en-US"/>
        </w:rPr>
        <w:t>.</w:t>
      </w:r>
      <w:r>
        <w:rPr>
          <w:lang w:val="en-US"/>
        </w:rPr>
        <w:t xml:space="preserve"> </w:t>
      </w:r>
      <w:r w:rsidR="00953833">
        <w:rPr>
          <w:lang w:val="en-US"/>
        </w:rPr>
        <w:t xml:space="preserve"> </w:t>
      </w:r>
      <w:r w:rsidR="00AF6F8B">
        <w:rPr>
          <w:lang w:val="en-US"/>
        </w:rPr>
        <w:t xml:space="preserve">  </w:t>
      </w:r>
    </w:p>
    <w:p w14:paraId="056EEEA7" w14:textId="4285C527" w:rsidR="001C6F17" w:rsidRDefault="001C6F17" w:rsidP="009E49B9">
      <w:pPr>
        <w:pStyle w:val="Heading1"/>
        <w:numPr>
          <w:ilvl w:val="1"/>
          <w:numId w:val="3"/>
        </w:numPr>
      </w:pPr>
      <w:r>
        <w:t>Signaling</w:t>
      </w:r>
      <w:r w:rsidR="00A94F31">
        <w:t xml:space="preserve"> of the private/local IP address type information</w:t>
      </w:r>
      <w:r>
        <w:t xml:space="preserve"> </w:t>
      </w:r>
    </w:p>
    <w:p w14:paraId="5BE6E38E" w14:textId="075878F2" w:rsidR="006934D7" w:rsidRDefault="00A94F31" w:rsidP="006934D7">
      <w:pPr>
        <w:rPr>
          <w:lang w:val="en-US"/>
        </w:rPr>
      </w:pPr>
      <w:r>
        <w:rPr>
          <w:lang w:val="en-US"/>
        </w:rPr>
        <w:t xml:space="preserve">The signaling consists of both SDP signaling and UE-to-UPF signaling. </w:t>
      </w:r>
    </w:p>
    <w:p w14:paraId="3A05DE48" w14:textId="77777777" w:rsidR="0085791E" w:rsidRDefault="00A94F31" w:rsidP="006934D7">
      <w:pPr>
        <w:rPr>
          <w:lang w:val="en-US"/>
        </w:rPr>
      </w:pPr>
      <w:r>
        <w:rPr>
          <w:lang w:val="en-US"/>
        </w:rPr>
        <w:t xml:space="preserve">Two scenarios are considered. In the first scenario, between the two endpoints, device A is a UE, and device B is a non-3GPP device (which may be an application server). </w:t>
      </w:r>
      <w:r w:rsidR="0085791E">
        <w:rPr>
          <w:lang w:val="en-US"/>
        </w:rPr>
        <w:t>An example call flow is shown in Figure 1, and the steps are explained below:</w:t>
      </w:r>
    </w:p>
    <w:p w14:paraId="13E5344F" w14:textId="77777777" w:rsidR="0085791E" w:rsidRDefault="0085791E" w:rsidP="006934D7">
      <w:pPr>
        <w:rPr>
          <w:lang w:val="en-US"/>
        </w:rPr>
      </w:pPr>
      <w:r>
        <w:rPr>
          <w:lang w:val="en-US"/>
        </w:rPr>
        <w:t>1. Device A sends an SDP offer to Device B.</w:t>
      </w:r>
    </w:p>
    <w:p w14:paraId="2FBFD43E" w14:textId="77777777" w:rsidR="0085791E" w:rsidRDefault="0085791E" w:rsidP="006934D7">
      <w:pPr>
        <w:rPr>
          <w:lang w:val="en-US"/>
        </w:rPr>
      </w:pPr>
      <w:r>
        <w:rPr>
          <w:lang w:val="en-US"/>
        </w:rPr>
        <w:t>2. Device B replies with an SDP answer, which carries Device B’s local IP address type.</w:t>
      </w:r>
    </w:p>
    <w:p w14:paraId="2D75B2F0" w14:textId="77777777" w:rsidR="0085791E" w:rsidRDefault="0085791E" w:rsidP="006934D7">
      <w:pPr>
        <w:rPr>
          <w:lang w:val="en-US"/>
        </w:rPr>
      </w:pPr>
      <w:r>
        <w:rPr>
          <w:lang w:val="en-US"/>
        </w:rPr>
        <w:lastRenderedPageBreak/>
        <w:t>3. Device A extracts Device B’s local IP address type and Device B’s public IP address information and sends the information to the AF, and the information is then forwarded to the PCF, SMF and UPF. Device B’s public IP address information may be in the form of the Device B’s public IP address, the IP 5-tuple, or the QoS flow identifier.</w:t>
      </w:r>
    </w:p>
    <w:p w14:paraId="79CE1332" w14:textId="77777777" w:rsidR="0085791E" w:rsidRDefault="0085791E" w:rsidP="006934D7">
      <w:pPr>
        <w:rPr>
          <w:lang w:val="en-US"/>
        </w:rPr>
      </w:pPr>
      <w:r>
        <w:rPr>
          <w:lang w:val="en-US"/>
        </w:rPr>
        <w:t>4. Device B sends a data packet from the PDU set.</w:t>
      </w:r>
    </w:p>
    <w:p w14:paraId="73D12AD8" w14:textId="3EC83077" w:rsidR="009F232D" w:rsidRDefault="0085791E" w:rsidP="006934D7">
      <w:pPr>
        <w:rPr>
          <w:lang w:val="en-US"/>
        </w:rPr>
      </w:pPr>
      <w:r>
        <w:rPr>
          <w:lang w:val="en-US"/>
        </w:rPr>
        <w:t xml:space="preserve">5. The UPF adjusts the </w:t>
      </w:r>
      <w:proofErr w:type="spellStart"/>
      <w:r>
        <w:rPr>
          <w:lang w:val="en-US"/>
        </w:rPr>
        <w:t>PSSize</w:t>
      </w:r>
      <w:proofErr w:type="spellEnd"/>
      <w:r>
        <w:rPr>
          <w:lang w:val="en-US"/>
        </w:rPr>
        <w:t xml:space="preserve">. It </w:t>
      </w:r>
      <w:r w:rsidR="00D36DBA">
        <w:rPr>
          <w:lang w:val="en-US"/>
        </w:rPr>
        <w:t xml:space="preserve">detects Device B’s data packet by the received Device B’s public IP address information and extracts the </w:t>
      </w:r>
      <w:proofErr w:type="spellStart"/>
      <w:r w:rsidR="00D36DBA">
        <w:rPr>
          <w:lang w:val="en-US"/>
        </w:rPr>
        <w:t>PSSize</w:t>
      </w:r>
      <w:proofErr w:type="spellEnd"/>
      <w:r w:rsidR="00D36DBA">
        <w:rPr>
          <w:lang w:val="en-US"/>
        </w:rPr>
        <w:t xml:space="preserve"> from the RTP header extension in the data packet. If there is a mismatch between Device B’s local IP address type and public IP address type, UPF adjusts the </w:t>
      </w:r>
      <w:proofErr w:type="spellStart"/>
      <w:r w:rsidR="00D36DBA">
        <w:rPr>
          <w:lang w:val="en-US"/>
        </w:rPr>
        <w:t>PSSize</w:t>
      </w:r>
      <w:proofErr w:type="spellEnd"/>
      <w:r w:rsidR="00D36DBA">
        <w:rPr>
          <w:lang w:val="en-US"/>
        </w:rPr>
        <w:t xml:space="preserve">, and adds the adjusted </w:t>
      </w:r>
      <w:proofErr w:type="spellStart"/>
      <w:r w:rsidR="00D36DBA">
        <w:rPr>
          <w:lang w:val="en-US"/>
        </w:rPr>
        <w:t>PSSize</w:t>
      </w:r>
      <w:proofErr w:type="spellEnd"/>
      <w:r w:rsidR="00D36DBA">
        <w:rPr>
          <w:lang w:val="en-US"/>
        </w:rPr>
        <w:t xml:space="preserve"> to the GTP-U packet header. Otherwise, there is no adjustment and the UPF adds the extracted </w:t>
      </w:r>
      <w:proofErr w:type="spellStart"/>
      <w:r w:rsidR="00D36DBA">
        <w:rPr>
          <w:lang w:val="en-US"/>
        </w:rPr>
        <w:t>PSSize</w:t>
      </w:r>
      <w:proofErr w:type="spellEnd"/>
      <w:r w:rsidR="00D36DBA">
        <w:rPr>
          <w:lang w:val="en-US"/>
        </w:rPr>
        <w:t xml:space="preserve"> to the GTP-U packet header. </w:t>
      </w:r>
    </w:p>
    <w:p w14:paraId="5C4AF8D2" w14:textId="536DBFEC" w:rsidR="00D36DBA" w:rsidRDefault="00D36DBA" w:rsidP="006934D7">
      <w:pPr>
        <w:rPr>
          <w:lang w:val="en-US"/>
        </w:rPr>
      </w:pPr>
      <w:r>
        <w:rPr>
          <w:lang w:val="en-US"/>
        </w:rPr>
        <w:t>6. The UPF sends the GTP-U packet (carrying the data packet) to the NG-RAN.</w:t>
      </w:r>
    </w:p>
    <w:p w14:paraId="13C63BD9" w14:textId="77777777" w:rsidR="00D36DBA" w:rsidRDefault="00D36DBA" w:rsidP="006934D7">
      <w:pPr>
        <w:rPr>
          <w:lang w:val="en-US"/>
        </w:rPr>
      </w:pPr>
      <w:r>
        <w:rPr>
          <w:lang w:val="en-US"/>
        </w:rPr>
        <w:t xml:space="preserve">7. The NG-RAN extracts the </w:t>
      </w:r>
      <w:proofErr w:type="spellStart"/>
      <w:r>
        <w:rPr>
          <w:lang w:val="en-US"/>
        </w:rPr>
        <w:t>PSSize</w:t>
      </w:r>
      <w:proofErr w:type="spellEnd"/>
      <w:r>
        <w:rPr>
          <w:lang w:val="en-US"/>
        </w:rPr>
        <w:t xml:space="preserve"> and does resource allocation with the </w:t>
      </w:r>
      <w:proofErr w:type="spellStart"/>
      <w:r>
        <w:rPr>
          <w:lang w:val="en-US"/>
        </w:rPr>
        <w:t>PSSize</w:t>
      </w:r>
      <w:proofErr w:type="spellEnd"/>
      <w:r>
        <w:rPr>
          <w:lang w:val="en-US"/>
        </w:rPr>
        <w:t xml:space="preserve"> </w:t>
      </w:r>
      <w:proofErr w:type="gramStart"/>
      <w:r>
        <w:rPr>
          <w:lang w:val="en-US"/>
        </w:rPr>
        <w:t>taken into account</w:t>
      </w:r>
      <w:proofErr w:type="gramEnd"/>
      <w:r>
        <w:rPr>
          <w:lang w:val="en-US"/>
        </w:rPr>
        <w:t>.</w:t>
      </w:r>
    </w:p>
    <w:p w14:paraId="52E922C9" w14:textId="619DA196" w:rsidR="00A94F31" w:rsidRDefault="00D36DBA" w:rsidP="006934D7">
      <w:pPr>
        <w:rPr>
          <w:lang w:val="en-US"/>
        </w:rPr>
      </w:pPr>
      <w:r>
        <w:rPr>
          <w:lang w:val="en-US"/>
        </w:rPr>
        <w:t xml:space="preserve">8. The NG-RAN sends the data packet over the air.     </w:t>
      </w:r>
      <w:r w:rsidR="0085791E">
        <w:rPr>
          <w:lang w:val="en-US"/>
        </w:rPr>
        <w:t xml:space="preserve">       </w:t>
      </w:r>
      <w:r w:rsidR="00A94F31">
        <w:rPr>
          <w:lang w:val="en-US"/>
        </w:rPr>
        <w:t xml:space="preserve"> </w:t>
      </w:r>
    </w:p>
    <w:p w14:paraId="7C476076" w14:textId="77777777" w:rsidR="00AA3E71" w:rsidRDefault="00AA3E71" w:rsidP="006934D7">
      <w:pPr>
        <w:rPr>
          <w:lang w:val="en-US"/>
        </w:rPr>
      </w:pPr>
    </w:p>
    <w:p w14:paraId="51F437FB" w14:textId="76C485EE" w:rsidR="00AA3E71" w:rsidRDefault="004920AF" w:rsidP="006934D7">
      <w:pPr>
        <w:rPr>
          <w:lang w:val="en-US"/>
        </w:rPr>
      </w:pPr>
      <w:r w:rsidRPr="00AA3E71">
        <w:rPr>
          <w:lang w:val="en-US"/>
        </w:rPr>
        <w:object w:dxaOrig="14376" w:dyaOrig="6936" w14:anchorId="77E86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180.6pt" o:ole="">
            <v:imagedata r:id="rId11" o:title=""/>
          </v:shape>
          <o:OLEObject Type="Embed" ProgID="Mscgen.Chart" ShapeID="_x0000_i1025" DrawAspect="Content" ObjectID="_1763093717" r:id="rId12"/>
        </w:object>
      </w:r>
    </w:p>
    <w:p w14:paraId="4795087F" w14:textId="08C980DC" w:rsidR="00D36DBA" w:rsidRDefault="0085791E" w:rsidP="006934D7">
      <w:pPr>
        <w:rPr>
          <w:lang w:val="en-US"/>
        </w:rPr>
      </w:pPr>
      <w:r>
        <w:rPr>
          <w:lang w:val="en-US"/>
        </w:rPr>
        <w:t>Figure 1: call flow for signaling the local IP address information when one endpoint is a non-3GPP device</w:t>
      </w:r>
      <w:r w:rsidR="009401CB">
        <w:rPr>
          <w:lang w:val="en-US"/>
        </w:rPr>
        <w:t>.</w:t>
      </w:r>
    </w:p>
    <w:p w14:paraId="5A7E7B1F" w14:textId="22B8386F" w:rsidR="00D36DBA" w:rsidRDefault="00D36DBA" w:rsidP="006934D7">
      <w:pPr>
        <w:rPr>
          <w:lang w:val="en-US"/>
        </w:rPr>
      </w:pPr>
      <w:r>
        <w:rPr>
          <w:lang w:val="en-US"/>
        </w:rPr>
        <w:t xml:space="preserve">In the second scenario, the two endpoints are in two different 5G networks. The procedure is similar to that in the first scenario, except that both the endpoints need to inform their respective UPFs about the local IP address type of the other endpoint. An example call flow is shown in Figure 2. For simplicity, the </w:t>
      </w:r>
      <w:r w:rsidR="009401CB">
        <w:rPr>
          <w:lang w:val="en-US"/>
        </w:rPr>
        <w:t>PCF and SMF are left out in the figure.</w:t>
      </w:r>
      <w:r>
        <w:rPr>
          <w:lang w:val="en-US"/>
        </w:rPr>
        <w:t xml:space="preserve">  </w:t>
      </w:r>
    </w:p>
    <w:p w14:paraId="1A2474B1" w14:textId="55DD8915" w:rsidR="00AA3E71" w:rsidRDefault="00A94F31" w:rsidP="006934D7">
      <w:pPr>
        <w:rPr>
          <w:lang w:val="en-US"/>
        </w:rPr>
      </w:pPr>
      <w:r w:rsidRPr="00A94F31">
        <w:rPr>
          <w:lang w:val="en-US"/>
        </w:rPr>
        <w:object w:dxaOrig="16932" w:dyaOrig="8016" w14:anchorId="450BCD49">
          <v:shape id="_x0000_i1026" type="#_x0000_t75" style="width:484.2pt;height:229.2pt" o:ole="">
            <v:imagedata r:id="rId13" o:title=""/>
          </v:shape>
          <o:OLEObject Type="Embed" ProgID="Mscgen.Chart" ShapeID="_x0000_i1026" DrawAspect="Content" ObjectID="_1763093718" r:id="rId14"/>
        </w:object>
      </w:r>
    </w:p>
    <w:p w14:paraId="18C83F86" w14:textId="00AFD927" w:rsidR="0085791E" w:rsidRDefault="0085791E" w:rsidP="0085791E">
      <w:pPr>
        <w:rPr>
          <w:lang w:val="en-US"/>
        </w:rPr>
      </w:pPr>
      <w:r>
        <w:rPr>
          <w:lang w:val="en-US"/>
        </w:rPr>
        <w:t xml:space="preserve">Figure 2: call flow for signaling the local IP address information </w:t>
      </w:r>
      <w:r w:rsidR="009401CB">
        <w:rPr>
          <w:lang w:val="en-US"/>
        </w:rPr>
        <w:t xml:space="preserve">when </w:t>
      </w:r>
      <w:r>
        <w:rPr>
          <w:lang w:val="en-US"/>
        </w:rPr>
        <w:t xml:space="preserve">the endpoints are in different 5G </w:t>
      </w:r>
      <w:r w:rsidR="009401CB">
        <w:rPr>
          <w:lang w:val="en-US"/>
        </w:rPr>
        <w:t>networks.</w:t>
      </w:r>
    </w:p>
    <w:p w14:paraId="3762B561" w14:textId="1B0DE00D" w:rsidR="00742970" w:rsidRDefault="00742970" w:rsidP="007D1D47">
      <w:pPr>
        <w:pStyle w:val="Heading1"/>
        <w:numPr>
          <w:ilvl w:val="0"/>
          <w:numId w:val="3"/>
        </w:numPr>
      </w:pPr>
      <w:r>
        <w:t>Further discussion on correcting the PSSize</w:t>
      </w:r>
    </w:p>
    <w:p w14:paraId="374248A1" w14:textId="06CB4CD0" w:rsidR="00742970" w:rsidRPr="00742970" w:rsidRDefault="00537EC2" w:rsidP="00742970">
      <w:pPr>
        <w:rPr>
          <w:lang w:val="en-US"/>
        </w:rPr>
      </w:pPr>
      <w:r>
        <w:rPr>
          <w:lang w:val="en-US"/>
        </w:rPr>
        <w:t>The</w:t>
      </w:r>
      <w:r w:rsidR="00742970">
        <w:rPr>
          <w:lang w:val="en-US"/>
        </w:rPr>
        <w:t xml:space="preserve"> number of PDUs is important for the UPF to correct the PSSize, because each PDU result</w:t>
      </w:r>
      <w:r w:rsidR="00633829">
        <w:rPr>
          <w:lang w:val="en-US"/>
        </w:rPr>
        <w:t>s</w:t>
      </w:r>
      <w:r w:rsidR="00742970">
        <w:rPr>
          <w:lang w:val="en-US"/>
        </w:rPr>
        <w:t xml:space="preserve"> in 20 bytes of difference </w:t>
      </w:r>
      <w:r w:rsidR="0006584A">
        <w:rPr>
          <w:lang w:val="en-US"/>
        </w:rPr>
        <w:t xml:space="preserve">in packet size </w:t>
      </w:r>
      <w:r w:rsidR="00742970">
        <w:rPr>
          <w:lang w:val="en-US"/>
        </w:rPr>
        <w:t xml:space="preserve">when NAT46/NAT64 occurs. However, IP packet fragmentation </w:t>
      </w:r>
      <w:r w:rsidR="00193736">
        <w:rPr>
          <w:lang w:val="en-US"/>
        </w:rPr>
        <w:t xml:space="preserve">between the AS and the UPF </w:t>
      </w:r>
      <w:r w:rsidR="00742970">
        <w:rPr>
          <w:lang w:val="en-US"/>
        </w:rPr>
        <w:t xml:space="preserve">may </w:t>
      </w:r>
      <w:r w:rsidR="00633829">
        <w:rPr>
          <w:lang w:val="en-US"/>
        </w:rPr>
        <w:t>occur</w:t>
      </w:r>
      <w:r w:rsidR="00C62005">
        <w:rPr>
          <w:lang w:val="en-US"/>
        </w:rPr>
        <w:t>,</w:t>
      </w:r>
      <w:r w:rsidR="00633829">
        <w:rPr>
          <w:lang w:val="en-US"/>
        </w:rPr>
        <w:t xml:space="preserve"> and it </w:t>
      </w:r>
      <w:r w:rsidR="00742970">
        <w:rPr>
          <w:lang w:val="en-US"/>
        </w:rPr>
        <w:t>alter</w:t>
      </w:r>
      <w:r w:rsidR="00633829">
        <w:rPr>
          <w:lang w:val="en-US"/>
        </w:rPr>
        <w:t>s</w:t>
      </w:r>
      <w:r w:rsidR="00742970">
        <w:rPr>
          <w:lang w:val="en-US"/>
        </w:rPr>
        <w:t xml:space="preserve"> the number of PDUs</w:t>
      </w:r>
      <w:r w:rsidR="006A60E7">
        <w:rPr>
          <w:lang w:val="en-US"/>
        </w:rPr>
        <w:t>.</w:t>
      </w:r>
      <w:r w:rsidR="00193736">
        <w:rPr>
          <w:lang w:val="en-US"/>
        </w:rPr>
        <w:t xml:space="preserve"> Therefore, even if the number of PDUs is signaled from the AS to the UPF, the UPF may not have complete information to correct the PSSize.</w:t>
      </w:r>
      <w:r w:rsidR="00633829">
        <w:rPr>
          <w:lang w:val="en-US"/>
        </w:rPr>
        <w:t xml:space="preserve"> In our view, although there are solutions to the NAT46/NAT64 issue, there is no complete solution </w:t>
      </w:r>
      <w:r w:rsidR="00C62005">
        <w:rPr>
          <w:lang w:val="en-US"/>
        </w:rPr>
        <w:t xml:space="preserve">yet </w:t>
      </w:r>
      <w:r w:rsidR="00633829">
        <w:rPr>
          <w:lang w:val="en-US"/>
        </w:rPr>
        <w:t xml:space="preserve">to the bigger problem of correcting the PSSize. </w:t>
      </w:r>
      <w:r w:rsidR="00807B3B">
        <w:rPr>
          <w:lang w:val="en-US"/>
        </w:rPr>
        <w:t xml:space="preserve">The time remaining for Rel-18 is quite limited. </w:t>
      </w:r>
      <w:r w:rsidR="00633829">
        <w:rPr>
          <w:lang w:val="en-US"/>
        </w:rPr>
        <w:t>Therefore, we propose to postpone the</w:t>
      </w:r>
      <w:r w:rsidR="00C62005">
        <w:rPr>
          <w:lang w:val="en-US"/>
        </w:rPr>
        <w:t xml:space="preserve"> problem </w:t>
      </w:r>
      <w:r w:rsidR="00633829">
        <w:rPr>
          <w:lang w:val="en-US"/>
        </w:rPr>
        <w:t xml:space="preserve">to Release 19. </w:t>
      </w:r>
    </w:p>
    <w:p w14:paraId="31DFDB63" w14:textId="3F583E81" w:rsidR="00583965" w:rsidRDefault="00583965" w:rsidP="007D1D47">
      <w:pPr>
        <w:pStyle w:val="Heading1"/>
        <w:numPr>
          <w:ilvl w:val="0"/>
          <w:numId w:val="3"/>
        </w:numPr>
      </w:pPr>
      <w:r>
        <w:t>Proposal</w:t>
      </w:r>
      <w:r w:rsidR="0085791E">
        <w:t>s</w:t>
      </w:r>
    </w:p>
    <w:p w14:paraId="2949BD06" w14:textId="4FCB2E9B" w:rsidR="00BF5584" w:rsidRDefault="009401CB" w:rsidP="009401CB">
      <w:pPr>
        <w:rPr>
          <w:lang w:val="en-US"/>
        </w:rPr>
      </w:pPr>
      <w:r>
        <w:rPr>
          <w:lang w:val="en-US"/>
        </w:rPr>
        <w:t xml:space="preserve">We propose </w:t>
      </w:r>
      <w:r w:rsidR="00DF453E">
        <w:rPr>
          <w:lang w:val="en-US"/>
        </w:rPr>
        <w:t>to (1) add clause 2 and clause 3 into the RTC PD, and (2)</w:t>
      </w:r>
      <w:r w:rsidR="0006584A">
        <w:rPr>
          <w:lang w:val="en-US"/>
        </w:rPr>
        <w:t xml:space="preserve"> d</w:t>
      </w:r>
      <w:r w:rsidR="007A2CC4">
        <w:rPr>
          <w:lang w:val="en-US"/>
        </w:rPr>
        <w:t>iscuss</w:t>
      </w:r>
      <w:r w:rsidR="0006584A">
        <w:rPr>
          <w:lang w:val="en-US"/>
        </w:rPr>
        <w:t xml:space="preserve"> solutions </w:t>
      </w:r>
      <w:r w:rsidR="007A2CC4">
        <w:rPr>
          <w:lang w:val="en-US"/>
        </w:rPr>
        <w:t>to</w:t>
      </w:r>
      <w:r w:rsidR="0006584A">
        <w:rPr>
          <w:lang w:val="en-US"/>
        </w:rPr>
        <w:t xml:space="preserve"> the general problem of correcting the PDU Set Size at the UPF</w:t>
      </w:r>
      <w:r w:rsidR="007A2CC4">
        <w:rPr>
          <w:lang w:val="en-US"/>
        </w:rPr>
        <w:t xml:space="preserve"> in Release 19</w:t>
      </w:r>
      <w:r w:rsidR="0006584A">
        <w:rPr>
          <w:lang w:val="en-US"/>
        </w:rPr>
        <w:t>, with NAT46/NAT64 being one of the causes of the problem.</w:t>
      </w:r>
    </w:p>
    <w:p w14:paraId="1AD77411" w14:textId="6F7CC229" w:rsidR="003649FB" w:rsidRDefault="003649FB" w:rsidP="003649FB">
      <w:pPr>
        <w:pStyle w:val="Heading1"/>
        <w:numPr>
          <w:ilvl w:val="0"/>
          <w:numId w:val="3"/>
        </w:numPr>
      </w:pPr>
      <w:r>
        <w:t>References</w:t>
      </w:r>
    </w:p>
    <w:p w14:paraId="178C50A2" w14:textId="4C3AE537" w:rsidR="00F768C5" w:rsidRDefault="00F768C5" w:rsidP="001067EA">
      <w:pPr>
        <w:rPr>
          <w:lang w:val="en-US"/>
        </w:rPr>
      </w:pPr>
      <w:r>
        <w:rPr>
          <w:lang w:val="en-US"/>
        </w:rPr>
        <w:t xml:space="preserve">[1] </w:t>
      </w:r>
      <w:r w:rsidRPr="00F768C5">
        <w:rPr>
          <w:lang w:val="en-US"/>
        </w:rPr>
        <w:t>3GPP TS 26.522 V0.1.1</w:t>
      </w:r>
      <w:r w:rsidR="00EB2CCB">
        <w:rPr>
          <w:lang w:val="en-US"/>
        </w:rPr>
        <w:t xml:space="preserve">, August </w:t>
      </w:r>
      <w:r w:rsidRPr="00F768C5">
        <w:rPr>
          <w:lang w:val="en-US"/>
        </w:rPr>
        <w:t>2023</w:t>
      </w:r>
      <w:r w:rsidR="00EB2CCB">
        <w:rPr>
          <w:lang w:val="en-US"/>
        </w:rPr>
        <w:t>.</w:t>
      </w:r>
      <w:r w:rsidRPr="00F768C5">
        <w:rPr>
          <w:lang w:val="en-US"/>
        </w:rPr>
        <w:t xml:space="preserve"> </w:t>
      </w:r>
      <w:r w:rsidR="003649FB">
        <w:rPr>
          <w:lang w:val="en-US"/>
        </w:rPr>
        <w:tab/>
      </w:r>
      <w:r w:rsidR="004C4B64">
        <w:rPr>
          <w:lang w:val="en-US"/>
        </w:rPr>
        <w:t xml:space="preserve"> </w:t>
      </w:r>
    </w:p>
    <w:p w14:paraId="50EADED9" w14:textId="470364C4" w:rsidR="006F305F" w:rsidRDefault="00F768C5" w:rsidP="001067EA">
      <w:pPr>
        <w:rPr>
          <w:lang w:val="en-US"/>
        </w:rPr>
      </w:pPr>
      <w:r>
        <w:rPr>
          <w:lang w:val="en-US"/>
        </w:rPr>
        <w:t xml:space="preserve">[2] </w:t>
      </w:r>
      <w:r w:rsidR="006F305F">
        <w:rPr>
          <w:lang w:val="en-US"/>
        </w:rPr>
        <w:t xml:space="preserve">IETF RFC 8866, </w:t>
      </w:r>
      <w:r w:rsidR="009B1E2E">
        <w:rPr>
          <w:lang w:val="en-US"/>
        </w:rPr>
        <w:t>“</w:t>
      </w:r>
      <w:r w:rsidR="006F305F" w:rsidRPr="006F305F">
        <w:rPr>
          <w:lang w:val="en-US"/>
        </w:rPr>
        <w:t>SDP: Session Description Protocol</w:t>
      </w:r>
      <w:r w:rsidR="009B1E2E">
        <w:rPr>
          <w:lang w:val="en-US"/>
        </w:rPr>
        <w:t>”</w:t>
      </w:r>
      <w:r w:rsidR="006F305F">
        <w:rPr>
          <w:lang w:val="en-US"/>
        </w:rPr>
        <w:t>, 2021.</w:t>
      </w:r>
    </w:p>
    <w:p w14:paraId="265CA381" w14:textId="5A4DB032" w:rsidR="004C4B64" w:rsidRPr="003649FB" w:rsidRDefault="009B1E2E" w:rsidP="009B1E2E">
      <w:r>
        <w:rPr>
          <w:lang w:val="en-US"/>
        </w:rPr>
        <w:t>[</w:t>
      </w:r>
      <w:r w:rsidR="00F768C5">
        <w:rPr>
          <w:lang w:val="en-US"/>
        </w:rPr>
        <w:t>3</w:t>
      </w:r>
      <w:r>
        <w:rPr>
          <w:lang w:val="en-US"/>
        </w:rPr>
        <w:t>] IETF RFC 8839, “</w:t>
      </w:r>
      <w:r w:rsidRPr="009B1E2E">
        <w:rPr>
          <w:lang w:val="en-US"/>
        </w:rPr>
        <w:t>Session Description Protocol (SDP) Offer/Answer Procedures for Interactive Connectivity Establishment (ICE)</w:t>
      </w:r>
      <w:r>
        <w:rPr>
          <w:lang w:val="en-US"/>
        </w:rPr>
        <w:t>”, 2021.</w:t>
      </w:r>
      <w:r w:rsidR="006F305F">
        <w:rPr>
          <w:lang w:val="en-US"/>
        </w:rPr>
        <w:t xml:space="preserve"> </w:t>
      </w:r>
    </w:p>
    <w:sectPr w:rsidR="004C4B64"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45EC" w14:textId="77777777" w:rsidR="000B0AE3" w:rsidRDefault="000B0AE3">
      <w:r>
        <w:separator/>
      </w:r>
    </w:p>
  </w:endnote>
  <w:endnote w:type="continuationSeparator" w:id="0">
    <w:p w14:paraId="68D17635" w14:textId="77777777" w:rsidR="000B0AE3" w:rsidRDefault="000B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A084A" w14:textId="77777777" w:rsidR="000B0AE3" w:rsidRDefault="000B0AE3">
      <w:r>
        <w:separator/>
      </w:r>
    </w:p>
  </w:footnote>
  <w:footnote w:type="continuationSeparator" w:id="0">
    <w:p w14:paraId="0A0B7D23" w14:textId="77777777" w:rsidR="000B0AE3" w:rsidRDefault="000B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C73AC2B"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SA4</w:t>
    </w:r>
    <w:r w:rsidR="00B42FEA">
      <w:rPr>
        <w:rFonts w:ascii="Arial" w:eastAsia="SimSun" w:hAnsi="Arial" w:cs="Arial"/>
        <w:sz w:val="22"/>
        <w:lang w:val="en-US"/>
      </w:rPr>
      <w:t xml:space="preserve"> </w:t>
    </w:r>
    <w:r w:rsidR="001A7D62">
      <w:rPr>
        <w:rFonts w:ascii="Arial" w:eastAsia="SimSun" w:hAnsi="Arial" w:cs="Arial"/>
        <w:sz w:val="22"/>
        <w:lang w:val="en-US"/>
      </w:rPr>
      <w:t xml:space="preserve">RTC SWG Telco </w:t>
    </w:r>
    <w:r w:rsidR="009F132A">
      <w:rPr>
        <w:rFonts w:ascii="Arial" w:eastAsia="SimSun" w:hAnsi="Arial" w:cs="Arial"/>
        <w:sz w:val="22"/>
        <w:lang w:val="en-US"/>
      </w:rPr>
      <w:t>Meeting #1</w:t>
    </w:r>
    <w:r w:rsidR="00E66034">
      <w:rPr>
        <w:rFonts w:ascii="Arial" w:eastAsia="SimSun" w:hAnsi="Arial" w:cs="Arial"/>
        <w:sz w:val="22"/>
        <w:lang w:val="en-US"/>
      </w:rPr>
      <w:t>2</w:t>
    </w:r>
    <w:r w:rsidR="003E2024">
      <w:rPr>
        <w:rFonts w:ascii="Arial" w:eastAsia="SimSun" w:hAnsi="Arial" w:cs="Arial"/>
        <w:sz w:val="22"/>
        <w:lang w:val="en-US"/>
      </w:rPr>
      <w:t>6</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BF231D">
      <w:rPr>
        <w:rFonts w:ascii="Arial" w:hAnsi="Arial" w:cs="Arial"/>
        <w:b/>
        <w:bCs/>
        <w:color w:val="000000"/>
        <w:sz w:val="26"/>
        <w:szCs w:val="26"/>
      </w:rPr>
      <w:t>S4aR230124</w:t>
    </w:r>
  </w:p>
  <w:p w14:paraId="07F0C8DC" w14:textId="3C6C48AB" w:rsidR="008075BF" w:rsidRPr="006C359E" w:rsidRDefault="001A7D62"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December 6</w:t>
    </w:r>
    <w:r w:rsidR="003345C5">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4"/>
  </w:num>
  <w:num w:numId="7" w16cid:durableId="788552162">
    <w:abstractNumId w:val="7"/>
  </w:num>
  <w:num w:numId="8" w16cid:durableId="283195772">
    <w:abstractNumId w:val="0"/>
  </w:num>
  <w:num w:numId="9" w16cid:durableId="1031805320">
    <w:abstractNumId w:val="2"/>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320429868">
    <w:abstractNumId w:val="13"/>
  </w:num>
  <w:num w:numId="16" w16cid:durableId="1445350000">
    <w:abstractNumId w:val="13"/>
  </w:num>
  <w:num w:numId="17" w16cid:durableId="1168445116">
    <w:abstractNumId w:val="1"/>
  </w:num>
  <w:num w:numId="18" w16cid:durableId="1755198183">
    <w:abstractNumId w:val="15"/>
  </w:num>
  <w:num w:numId="19" w16cid:durableId="35548318">
    <w:abstractNumId w:val="6"/>
  </w:num>
  <w:num w:numId="20" w16cid:durableId="116516866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4D2E"/>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5B30"/>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84A"/>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0AE3"/>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D72DA"/>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736"/>
    <w:rsid w:val="00193FA0"/>
    <w:rsid w:val="0019524B"/>
    <w:rsid w:val="0019587E"/>
    <w:rsid w:val="001964D6"/>
    <w:rsid w:val="00197178"/>
    <w:rsid w:val="0019799F"/>
    <w:rsid w:val="001A1D4B"/>
    <w:rsid w:val="001A42A4"/>
    <w:rsid w:val="001A7792"/>
    <w:rsid w:val="001A7D6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6F17"/>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1690"/>
    <w:rsid w:val="00272A69"/>
    <w:rsid w:val="00272A75"/>
    <w:rsid w:val="00273259"/>
    <w:rsid w:val="00274298"/>
    <w:rsid w:val="002747CE"/>
    <w:rsid w:val="002751B8"/>
    <w:rsid w:val="00276CF3"/>
    <w:rsid w:val="00277DEF"/>
    <w:rsid w:val="0028030A"/>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117"/>
    <w:rsid w:val="002D4592"/>
    <w:rsid w:val="002D60E5"/>
    <w:rsid w:val="002D6130"/>
    <w:rsid w:val="002D7879"/>
    <w:rsid w:val="002D7A73"/>
    <w:rsid w:val="002E2134"/>
    <w:rsid w:val="002E608D"/>
    <w:rsid w:val="002F0BCA"/>
    <w:rsid w:val="002F1F22"/>
    <w:rsid w:val="002F28BE"/>
    <w:rsid w:val="002F495C"/>
    <w:rsid w:val="002F4B48"/>
    <w:rsid w:val="002F6829"/>
    <w:rsid w:val="002F742B"/>
    <w:rsid w:val="003004A3"/>
    <w:rsid w:val="003007CF"/>
    <w:rsid w:val="00300BC4"/>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45C5"/>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2024"/>
    <w:rsid w:val="003E34AB"/>
    <w:rsid w:val="003E4119"/>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968"/>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0237"/>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20AF"/>
    <w:rsid w:val="00494DC4"/>
    <w:rsid w:val="004955CE"/>
    <w:rsid w:val="00496281"/>
    <w:rsid w:val="004A06EA"/>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824"/>
    <w:rsid w:val="005062FF"/>
    <w:rsid w:val="00506B69"/>
    <w:rsid w:val="00511D2D"/>
    <w:rsid w:val="0051315C"/>
    <w:rsid w:val="005208EE"/>
    <w:rsid w:val="00520B6E"/>
    <w:rsid w:val="00520DBE"/>
    <w:rsid w:val="005219F9"/>
    <w:rsid w:val="005225C1"/>
    <w:rsid w:val="00522F20"/>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37EC2"/>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859"/>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3829"/>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68CE"/>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4D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60E7"/>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2C51"/>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305F"/>
    <w:rsid w:val="006F3822"/>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2970"/>
    <w:rsid w:val="007447DB"/>
    <w:rsid w:val="00746D72"/>
    <w:rsid w:val="00746F6B"/>
    <w:rsid w:val="00750115"/>
    <w:rsid w:val="007502F6"/>
    <w:rsid w:val="00750AB0"/>
    <w:rsid w:val="00751141"/>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A2CC4"/>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07B3B"/>
    <w:rsid w:val="00810D89"/>
    <w:rsid w:val="00811037"/>
    <w:rsid w:val="008148D4"/>
    <w:rsid w:val="0081759E"/>
    <w:rsid w:val="008179D9"/>
    <w:rsid w:val="00820CA3"/>
    <w:rsid w:val="00822AF4"/>
    <w:rsid w:val="00823814"/>
    <w:rsid w:val="00823991"/>
    <w:rsid w:val="00823CEF"/>
    <w:rsid w:val="00824543"/>
    <w:rsid w:val="008254BF"/>
    <w:rsid w:val="008254C1"/>
    <w:rsid w:val="0082571A"/>
    <w:rsid w:val="00826F88"/>
    <w:rsid w:val="00827E0F"/>
    <w:rsid w:val="0083088A"/>
    <w:rsid w:val="0083200F"/>
    <w:rsid w:val="0083303F"/>
    <w:rsid w:val="00833C93"/>
    <w:rsid w:val="00834EE7"/>
    <w:rsid w:val="008361C5"/>
    <w:rsid w:val="00840BC9"/>
    <w:rsid w:val="0084181F"/>
    <w:rsid w:val="00843247"/>
    <w:rsid w:val="00843C21"/>
    <w:rsid w:val="00844F76"/>
    <w:rsid w:val="0084511E"/>
    <w:rsid w:val="00845534"/>
    <w:rsid w:val="00846357"/>
    <w:rsid w:val="008500F4"/>
    <w:rsid w:val="00851DEC"/>
    <w:rsid w:val="008521A1"/>
    <w:rsid w:val="008554F8"/>
    <w:rsid w:val="00856151"/>
    <w:rsid w:val="0085791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95E"/>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4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6E7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1CB"/>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833"/>
    <w:rsid w:val="00953CED"/>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1E2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49B9"/>
    <w:rsid w:val="009E555A"/>
    <w:rsid w:val="009E74FA"/>
    <w:rsid w:val="009F08F1"/>
    <w:rsid w:val="009F132A"/>
    <w:rsid w:val="009F232D"/>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314"/>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F31"/>
    <w:rsid w:val="00A96C77"/>
    <w:rsid w:val="00AA0298"/>
    <w:rsid w:val="00AA0CC4"/>
    <w:rsid w:val="00AA0F19"/>
    <w:rsid w:val="00AA1035"/>
    <w:rsid w:val="00AA352B"/>
    <w:rsid w:val="00AA3E71"/>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941"/>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6F8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DF6"/>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231D"/>
    <w:rsid w:val="00BF45E3"/>
    <w:rsid w:val="00BF5584"/>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2005"/>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97CB9"/>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411E"/>
    <w:rsid w:val="00D1691A"/>
    <w:rsid w:val="00D169AC"/>
    <w:rsid w:val="00D20084"/>
    <w:rsid w:val="00D21240"/>
    <w:rsid w:val="00D22275"/>
    <w:rsid w:val="00D2251D"/>
    <w:rsid w:val="00D22987"/>
    <w:rsid w:val="00D2312F"/>
    <w:rsid w:val="00D239B9"/>
    <w:rsid w:val="00D25860"/>
    <w:rsid w:val="00D30E23"/>
    <w:rsid w:val="00D31106"/>
    <w:rsid w:val="00D317CC"/>
    <w:rsid w:val="00D33905"/>
    <w:rsid w:val="00D339E0"/>
    <w:rsid w:val="00D3438F"/>
    <w:rsid w:val="00D3502B"/>
    <w:rsid w:val="00D36DBA"/>
    <w:rsid w:val="00D37695"/>
    <w:rsid w:val="00D411B5"/>
    <w:rsid w:val="00D4195C"/>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1547"/>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453E"/>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2F6"/>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2CC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99A"/>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74453"/>
    <w:rsid w:val="00F768C5"/>
    <w:rsid w:val="00F81546"/>
    <w:rsid w:val="00F81A42"/>
    <w:rsid w:val="00F84309"/>
    <w:rsid w:val="00F8488C"/>
    <w:rsid w:val="00F85FE2"/>
    <w:rsid w:val="00F86537"/>
    <w:rsid w:val="00F866E7"/>
    <w:rsid w:val="00F868B0"/>
    <w:rsid w:val="00F87096"/>
    <w:rsid w:val="00F90227"/>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18E"/>
    <w:rsid w:val="00FB3B29"/>
    <w:rsid w:val="00FB5655"/>
    <w:rsid w:val="00FB5AF1"/>
    <w:rsid w:val="00FB5B7B"/>
    <w:rsid w:val="00FB5C19"/>
    <w:rsid w:val="00FB60E9"/>
    <w:rsid w:val="00FB6829"/>
    <w:rsid w:val="00FC030F"/>
    <w:rsid w:val="00FC1139"/>
    <w:rsid w:val="00FC12D7"/>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7615951">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6026175">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2023-11-16T18:13:00Z</dcterms:created>
  <dcterms:modified xsi:type="dcterms:W3CDTF">2023-12-03T15:26:00Z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