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F8FCF86"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3F59CF" w:rsidRPr="007A64B0">
        <w:rPr>
          <w:rFonts w:ascii="Arial" w:hAnsi="Arial" w:cs="Arial"/>
          <w:b/>
          <w:bCs/>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67FCD8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 xml:space="preserve">[5G_RTP] </w:t>
      </w:r>
      <w:r w:rsidR="001921D4">
        <w:rPr>
          <w:rFonts w:ascii="Arial" w:hAnsi="Arial" w:cs="Arial"/>
          <w:b/>
          <w:szCs w:val="24"/>
          <w:lang w:val="en-US" w:eastAsia="ja-JP"/>
        </w:rPr>
        <w:t>Signaling End of Data Burst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3BCFEBF4" w14:textId="4CD6E29D" w:rsidR="007A64B0" w:rsidRDefault="007A64B0" w:rsidP="001921D4">
      <w:pPr>
        <w:rPr>
          <w:lang w:val="en-US"/>
        </w:rPr>
      </w:pPr>
      <w:r>
        <w:rPr>
          <w:lang w:val="en-US"/>
        </w:rPr>
        <w:t xml:space="preserve">In </w:t>
      </w:r>
      <w:r w:rsidR="001921D4">
        <w:rPr>
          <w:lang w:val="en-US"/>
        </w:rPr>
        <w:t>their most recent LS, SA2 has indicated that they expect SA4 to also define the marking of end of burst</w:t>
      </w:r>
      <w:r w:rsidR="00F108B7">
        <w:rPr>
          <w:lang w:val="en-US"/>
        </w:rPr>
        <w:t>, so that XR traffic can benefit from CDRX optimization</w:t>
      </w:r>
      <w:r>
        <w:rPr>
          <w:lang w:val="en-US"/>
        </w:rPr>
        <w:t>.</w:t>
      </w:r>
    </w:p>
    <w:p w14:paraId="6AC089A2" w14:textId="061C954B" w:rsidR="00F108B7" w:rsidRDefault="00F108B7" w:rsidP="001921D4">
      <w:pPr>
        <w:rPr>
          <w:lang w:val="en-US"/>
        </w:rPr>
      </w:pPr>
      <w:r>
        <w:rPr>
          <w:lang w:val="en-US"/>
        </w:rPr>
        <w:t>In this contribution, we discuss the definition of data bursts and propose a marking for end of data bursts.</w:t>
      </w:r>
    </w:p>
    <w:p w14:paraId="3551B604" w14:textId="16C5AE3A" w:rsidR="00F108B7" w:rsidRDefault="00F108B7" w:rsidP="00F108B7">
      <w:pPr>
        <w:pStyle w:val="Heading1"/>
        <w:numPr>
          <w:ilvl w:val="0"/>
          <w:numId w:val="3"/>
        </w:numPr>
      </w:pPr>
      <w:r>
        <w:t xml:space="preserve">Data Burst in XR </w:t>
      </w:r>
      <w:proofErr w:type="gramStart"/>
      <w:r>
        <w:t>traffic</w:t>
      </w:r>
      <w:proofErr w:type="gramEnd"/>
    </w:p>
    <w:p w14:paraId="38B99EBE" w14:textId="0076CBA0" w:rsidR="00F108B7" w:rsidRDefault="007D2D92" w:rsidP="001921D4">
      <w:pPr>
        <w:rPr>
          <w:lang w:val="en-US"/>
        </w:rPr>
      </w:pPr>
      <w:r>
        <w:rPr>
          <w:lang w:val="en-US"/>
        </w:rPr>
        <w:t xml:space="preserve">A data burst is defined in TS23.700-60 as a set of multiple PDUs that are generated and sent by the application in a short period of time. A data burst can be composed of one or multiple PDU Sets. The concept of Data Burst is not specific to XR traffic and was already used in TS23.501. The parameter Maximum Data Burst Volume (MDBV) for GBR QoS flows. </w:t>
      </w:r>
    </w:p>
    <w:p w14:paraId="072B1D92" w14:textId="59F318BD" w:rsidR="007D2D92" w:rsidRDefault="007D2D92" w:rsidP="001921D4">
      <w:pPr>
        <w:rPr>
          <w:lang w:val="en-US"/>
        </w:rPr>
      </w:pPr>
      <w:r>
        <w:rPr>
          <w:lang w:val="en-US"/>
        </w:rPr>
        <w:t>For XR traffic, a QoS flow</w:t>
      </w:r>
      <w:r w:rsidR="00351E52">
        <w:rPr>
          <w:lang w:val="en-US"/>
        </w:rPr>
        <w:t xml:space="preserve">, identified by a single 5-Tuple, </w:t>
      </w:r>
      <w:r>
        <w:rPr>
          <w:lang w:val="en-US"/>
        </w:rPr>
        <w:t>may carry one or more RTP and RTCP streams</w:t>
      </w:r>
      <w:r w:rsidR="00351E52">
        <w:rPr>
          <w:lang w:val="en-US"/>
        </w:rPr>
        <w:t>.</w:t>
      </w:r>
      <w:r w:rsidR="005A23DF">
        <w:rPr>
          <w:lang w:val="en-US"/>
        </w:rPr>
        <w:t xml:space="preserve"> The multiplexing of RTP streams and of RTP with RTCP streams in WebRTC is described in RFC8834.</w:t>
      </w:r>
    </w:p>
    <w:p w14:paraId="5E08F80E" w14:textId="30658341" w:rsidR="005A23DF" w:rsidRDefault="005A23DF" w:rsidP="001921D4">
      <w:pPr>
        <w:rPr>
          <w:lang w:val="en-US"/>
        </w:rPr>
      </w:pPr>
      <w:r>
        <w:rPr>
          <w:lang w:val="en-US"/>
        </w:rPr>
        <w:t xml:space="preserve">A data burst may thus consist of multiple PDU Sets from different media streams. The PDU sets in a data burst would typically share the same NTP timestamp or very close NTP timestamps. </w:t>
      </w:r>
      <w:r w:rsidR="007F6DA5">
        <w:rPr>
          <w:lang w:val="en-US"/>
        </w:rPr>
        <w:t>Unfortunately, this cannot be derived directly from the RTP timestamps as each may use a different offset and clock rate.</w:t>
      </w:r>
    </w:p>
    <w:p w14:paraId="30939A18" w14:textId="51548AD6" w:rsidR="00EB6F24" w:rsidRDefault="007F6DA5" w:rsidP="00EB6F24">
      <w:pPr>
        <w:pStyle w:val="Heading1"/>
        <w:numPr>
          <w:ilvl w:val="0"/>
          <w:numId w:val="3"/>
        </w:numPr>
      </w:pPr>
      <w:r>
        <w:t>Signaling and Guidelines</w:t>
      </w:r>
    </w:p>
    <w:p w14:paraId="335F04E4" w14:textId="7CB68880" w:rsidR="007F6DA5" w:rsidRDefault="007F6DA5" w:rsidP="007F6DA5">
      <w:pPr>
        <w:rPr>
          <w:lang w:val="en-US"/>
        </w:rPr>
      </w:pPr>
      <w:r>
        <w:rPr>
          <w:lang w:val="en-US"/>
        </w:rPr>
        <w:t xml:space="preserve">Our proposed 2-byte RTP header extension for PDU Set marking is extended to add support for end of data burst marking. The </w:t>
      </w:r>
      <w:r w:rsidR="00593FC5">
        <w:rPr>
          <w:lang w:val="en-US"/>
        </w:rPr>
        <w:t xml:space="preserve">EOB </w:t>
      </w:r>
      <w:r>
        <w:rPr>
          <w:lang w:val="en-US"/>
        </w:rPr>
        <w:t>field is 2-bits in length with the following semantics:</w:t>
      </w:r>
    </w:p>
    <w:tbl>
      <w:tblPr>
        <w:tblStyle w:val="TableGrid"/>
        <w:tblW w:w="0" w:type="auto"/>
        <w:tblLook w:val="04A0" w:firstRow="1" w:lastRow="0" w:firstColumn="1" w:lastColumn="0" w:noHBand="0" w:noVBand="1"/>
      </w:tblPr>
      <w:tblGrid>
        <w:gridCol w:w="2335"/>
        <w:gridCol w:w="7346"/>
      </w:tblGrid>
      <w:tr w:rsidR="007F6DA5" w:rsidRPr="007F6DA5" w14:paraId="2918E59B" w14:textId="77777777" w:rsidTr="007F6DA5">
        <w:tc>
          <w:tcPr>
            <w:tcW w:w="2335" w:type="dxa"/>
          </w:tcPr>
          <w:p w14:paraId="700A8AB6" w14:textId="3DF84A87" w:rsidR="007F6DA5" w:rsidRPr="007F6DA5" w:rsidRDefault="007F6DA5" w:rsidP="007F6DA5">
            <w:pPr>
              <w:jc w:val="center"/>
              <w:rPr>
                <w:b/>
                <w:bCs/>
                <w:lang w:val="en-US"/>
              </w:rPr>
            </w:pPr>
            <w:r w:rsidRPr="007F6DA5">
              <w:rPr>
                <w:b/>
                <w:bCs/>
                <w:lang w:val="en-US"/>
              </w:rPr>
              <w:t>Value</w:t>
            </w:r>
          </w:p>
        </w:tc>
        <w:tc>
          <w:tcPr>
            <w:tcW w:w="7346" w:type="dxa"/>
          </w:tcPr>
          <w:p w14:paraId="5F78671E" w14:textId="4CB9B208" w:rsidR="007F6DA5" w:rsidRPr="007F6DA5" w:rsidRDefault="007F6DA5" w:rsidP="007F6DA5">
            <w:pPr>
              <w:jc w:val="center"/>
              <w:rPr>
                <w:b/>
                <w:bCs/>
                <w:lang w:val="en-US"/>
              </w:rPr>
            </w:pPr>
            <w:r w:rsidRPr="007F6DA5">
              <w:rPr>
                <w:b/>
                <w:bCs/>
                <w:lang w:val="en-US"/>
              </w:rPr>
              <w:t>Description</w:t>
            </w:r>
          </w:p>
        </w:tc>
      </w:tr>
      <w:tr w:rsidR="007F6DA5" w14:paraId="001951F2" w14:textId="77777777" w:rsidTr="007F6DA5">
        <w:tc>
          <w:tcPr>
            <w:tcW w:w="2335" w:type="dxa"/>
          </w:tcPr>
          <w:p w14:paraId="3B2D40E1" w14:textId="65985773" w:rsidR="007F6DA5" w:rsidRDefault="007F6DA5" w:rsidP="007F6DA5">
            <w:pPr>
              <w:rPr>
                <w:lang w:val="en-US"/>
              </w:rPr>
            </w:pPr>
            <w:r>
              <w:rPr>
                <w:lang w:val="en-US"/>
              </w:rPr>
              <w:t>00</w:t>
            </w:r>
          </w:p>
        </w:tc>
        <w:tc>
          <w:tcPr>
            <w:tcW w:w="7346" w:type="dxa"/>
          </w:tcPr>
          <w:p w14:paraId="521EBBD9" w14:textId="4F53703E" w:rsidR="007F6DA5" w:rsidRDefault="007F6DA5" w:rsidP="007F6DA5">
            <w:pPr>
              <w:rPr>
                <w:lang w:val="en-US"/>
              </w:rPr>
            </w:pPr>
            <w:r>
              <w:rPr>
                <w:lang w:val="en-US"/>
              </w:rPr>
              <w:t>End of data burst marking is not set for this RTP stream and RTP payload type.</w:t>
            </w:r>
          </w:p>
        </w:tc>
      </w:tr>
      <w:tr w:rsidR="007F6DA5" w14:paraId="6C1C0927" w14:textId="77777777" w:rsidTr="007F6DA5">
        <w:tc>
          <w:tcPr>
            <w:tcW w:w="2335" w:type="dxa"/>
          </w:tcPr>
          <w:p w14:paraId="666969C8" w14:textId="1A413BF1" w:rsidR="007F6DA5" w:rsidRDefault="007F6DA5" w:rsidP="007F6DA5">
            <w:pPr>
              <w:rPr>
                <w:lang w:val="en-US"/>
              </w:rPr>
            </w:pPr>
            <w:r>
              <w:rPr>
                <w:lang w:val="en-US"/>
              </w:rPr>
              <w:t>01</w:t>
            </w:r>
          </w:p>
        </w:tc>
        <w:tc>
          <w:tcPr>
            <w:tcW w:w="7346" w:type="dxa"/>
          </w:tcPr>
          <w:p w14:paraId="750C18B0" w14:textId="69F4BE5A" w:rsidR="007F6DA5" w:rsidRDefault="007F6DA5" w:rsidP="007F6DA5">
            <w:pPr>
              <w:rPr>
                <w:lang w:val="en-US"/>
              </w:rPr>
            </w:pPr>
            <w:r>
              <w:rPr>
                <w:lang w:val="en-US"/>
              </w:rPr>
              <w:t>This PDU is not the last PDU in the data burst.</w:t>
            </w:r>
          </w:p>
        </w:tc>
      </w:tr>
      <w:tr w:rsidR="007F6DA5" w14:paraId="5707B29E" w14:textId="77777777" w:rsidTr="007F6DA5">
        <w:tc>
          <w:tcPr>
            <w:tcW w:w="2335" w:type="dxa"/>
          </w:tcPr>
          <w:p w14:paraId="30ED2ED0" w14:textId="0BF84F58" w:rsidR="007F6DA5" w:rsidRDefault="007F6DA5" w:rsidP="007F6DA5">
            <w:pPr>
              <w:rPr>
                <w:lang w:val="en-US"/>
              </w:rPr>
            </w:pPr>
            <w:r>
              <w:rPr>
                <w:lang w:val="en-US"/>
              </w:rPr>
              <w:t>10</w:t>
            </w:r>
          </w:p>
        </w:tc>
        <w:tc>
          <w:tcPr>
            <w:tcW w:w="7346" w:type="dxa"/>
          </w:tcPr>
          <w:p w14:paraId="1629A766" w14:textId="6D37830C" w:rsidR="007F6DA5" w:rsidRDefault="007F6DA5" w:rsidP="007F6DA5">
            <w:pPr>
              <w:rPr>
                <w:lang w:val="en-US"/>
              </w:rPr>
            </w:pPr>
            <w:r>
              <w:rPr>
                <w:lang w:val="en-US"/>
              </w:rPr>
              <w:t>Not defined.</w:t>
            </w:r>
          </w:p>
        </w:tc>
      </w:tr>
      <w:tr w:rsidR="007F6DA5" w14:paraId="044B671A" w14:textId="77777777" w:rsidTr="007F6DA5">
        <w:tc>
          <w:tcPr>
            <w:tcW w:w="2335" w:type="dxa"/>
          </w:tcPr>
          <w:p w14:paraId="18B1D91B" w14:textId="0A6B69AA" w:rsidR="007F6DA5" w:rsidRDefault="007F6DA5" w:rsidP="007F6DA5">
            <w:pPr>
              <w:rPr>
                <w:lang w:val="en-US"/>
              </w:rPr>
            </w:pPr>
            <w:r>
              <w:rPr>
                <w:lang w:val="en-US"/>
              </w:rPr>
              <w:t>11</w:t>
            </w:r>
          </w:p>
        </w:tc>
        <w:tc>
          <w:tcPr>
            <w:tcW w:w="7346" w:type="dxa"/>
          </w:tcPr>
          <w:p w14:paraId="79E293C2" w14:textId="2BEA393B" w:rsidR="007F6DA5" w:rsidRDefault="007F6DA5" w:rsidP="007F6DA5">
            <w:pPr>
              <w:rPr>
                <w:lang w:val="en-US"/>
              </w:rPr>
            </w:pPr>
            <w:r>
              <w:rPr>
                <w:lang w:val="en-US"/>
              </w:rPr>
              <w:t>This value marks the last PDU of a data burst.</w:t>
            </w:r>
          </w:p>
        </w:tc>
      </w:tr>
    </w:tbl>
    <w:p w14:paraId="27480BC9" w14:textId="0B30ECB9" w:rsidR="007F6DA5" w:rsidRDefault="007F6DA5" w:rsidP="007F6DA5">
      <w:pPr>
        <w:rPr>
          <w:lang w:val="en-US"/>
        </w:rPr>
      </w:pPr>
    </w:p>
    <w:p w14:paraId="6EF62A1B" w14:textId="1A257E54" w:rsidR="007F6DA5" w:rsidRDefault="007F6DA5" w:rsidP="007F6DA5">
      <w:pPr>
        <w:rPr>
          <w:lang w:val="en-US"/>
        </w:rPr>
      </w:pPr>
      <w:r>
        <w:rPr>
          <w:lang w:val="en-US"/>
        </w:rPr>
        <w:lastRenderedPageBreak/>
        <w:t>The PDU that is marked as last PDU in a data burst shall also indicate the end of the associated PDU Set.</w:t>
      </w:r>
    </w:p>
    <w:p w14:paraId="2B6C2A98" w14:textId="17DC37D7" w:rsidR="007F6DA5" w:rsidRDefault="007F6DA5" w:rsidP="007F6DA5">
      <w:pPr>
        <w:rPr>
          <w:lang w:val="en-US"/>
        </w:rPr>
      </w:pPr>
      <w:r>
        <w:rPr>
          <w:lang w:val="en-US"/>
        </w:rPr>
        <w:t xml:space="preserve">It is suggested that the same RTP stream is designated for the end of the data burst. This RTP stream should be the one of least importance </w:t>
      </w:r>
      <w:r w:rsidR="00A71BC5">
        <w:rPr>
          <w:lang w:val="en-US"/>
        </w:rPr>
        <w:t>among the multiplexed RTP streams in an RTP session. For example, it could be determined based on the stream that has the highest payload type.</w:t>
      </w:r>
    </w:p>
    <w:p w14:paraId="7656F0FE" w14:textId="5DC93368" w:rsidR="00593FC5" w:rsidRDefault="00593FC5" w:rsidP="007F6DA5">
      <w:pPr>
        <w:rPr>
          <w:lang w:val="en-US"/>
        </w:rPr>
      </w:pPr>
      <w:r>
        <w:rPr>
          <w:lang w:val="en-US"/>
        </w:rPr>
        <w:t>The header extension is as follows:</w:t>
      </w:r>
    </w:p>
    <w:p w14:paraId="0AC610EC" w14:textId="77777777" w:rsidR="00593FC5" w:rsidRDefault="00593FC5" w:rsidP="007F6DA5">
      <w:pPr>
        <w:rPr>
          <w:lang w:val="en-US"/>
        </w:rPr>
      </w:pPr>
    </w:p>
    <w:p w14:paraId="2FA3599B" w14:textId="5BD86FA8" w:rsidR="00593FC5" w:rsidRPr="00A56C16" w:rsidRDefault="00593FC5" w:rsidP="00593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0                   1                   2                   3</w:t>
      </w:r>
    </w:p>
    <w:p w14:paraId="28B16DDF" w14:textId="77777777" w:rsidR="00593FC5" w:rsidRPr="00A56C16" w:rsidRDefault="00593FC5" w:rsidP="00593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0 1 2 3 4 5 6 7 8 9 0 1 2 3 4 5 6 7 8 9 0 1 2 3 4 5 6 7 8 9 0 1</w:t>
      </w:r>
    </w:p>
    <w:p w14:paraId="39D0C054" w14:textId="282DA2BA" w:rsidR="00593FC5" w:rsidRDefault="00593FC5" w:rsidP="00593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79C88A31" w14:textId="02126EB0" w:rsidR="00593FC5" w:rsidRDefault="00593FC5" w:rsidP="00593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rPr>
      </w:pPr>
      <w:r>
        <w:rPr>
          <w:rFonts w:ascii="Courier New" w:eastAsia="Times New Roman" w:hAnsi="Courier New" w:cs="Courier New"/>
          <w:color w:val="000000"/>
          <w:sz w:val="20"/>
          <w:lang w:val="en-US"/>
        </w:rPr>
        <w:t xml:space="preserve">      |</w:t>
      </w:r>
      <w:r w:rsidRPr="00593FC5">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Pr="00593FC5">
        <w:rPr>
          <w:rFonts w:ascii="Courier New" w:eastAsia="Times New Roman" w:hAnsi="Courier New" w:cs="Courier New"/>
          <w:color w:val="000000"/>
          <w:sz w:val="20"/>
        </w:rPr>
        <w:t xml:space="preserve">0x100         | </w:t>
      </w:r>
      <w:proofErr w:type="spellStart"/>
      <w:r w:rsidRPr="00593FC5">
        <w:rPr>
          <w:rFonts w:ascii="Courier New" w:eastAsia="Times New Roman" w:hAnsi="Courier New" w:cs="Courier New"/>
          <w:color w:val="000000"/>
          <w:sz w:val="20"/>
        </w:rPr>
        <w:t>appbits</w:t>
      </w:r>
      <w:proofErr w:type="spellEnd"/>
      <w:r>
        <w:rPr>
          <w:rFonts w:ascii="Courier New" w:eastAsia="Times New Roman" w:hAnsi="Courier New" w:cs="Courier New"/>
          <w:color w:val="000000"/>
          <w:sz w:val="20"/>
        </w:rPr>
        <w:t xml:space="preserve"> </w:t>
      </w:r>
      <w:r w:rsidRPr="00593FC5">
        <w:rPr>
          <w:rFonts w:ascii="Courier New" w:eastAsia="Times New Roman" w:hAnsi="Courier New" w:cs="Courier New"/>
          <w:color w:val="000000"/>
          <w:sz w:val="20"/>
        </w:rPr>
        <w:t xml:space="preserve">|        ID        | </w:t>
      </w:r>
      <w:proofErr w:type="spellStart"/>
      <w:r w:rsidRPr="00593FC5">
        <w:rPr>
          <w:rFonts w:ascii="Courier New" w:eastAsia="Times New Roman" w:hAnsi="Courier New" w:cs="Courier New"/>
          <w:color w:val="000000"/>
          <w:sz w:val="20"/>
        </w:rPr>
        <w:t>len</w:t>
      </w:r>
      <w:proofErr w:type="spellEnd"/>
      <w:r w:rsidRPr="00593FC5">
        <w:rPr>
          <w:rFonts w:ascii="Courier New" w:eastAsia="Times New Roman" w:hAnsi="Courier New" w:cs="Courier New"/>
          <w:color w:val="000000"/>
          <w:sz w:val="20"/>
        </w:rPr>
        <w:t>=</w:t>
      </w:r>
      <w:r w:rsidR="00090904">
        <w:rPr>
          <w:rFonts w:ascii="Courier New" w:eastAsia="Times New Roman" w:hAnsi="Courier New" w:cs="Courier New"/>
          <w:color w:val="000000"/>
          <w:sz w:val="20"/>
        </w:rPr>
        <w:t xml:space="preserve">8 </w:t>
      </w:r>
      <w:r>
        <w:rPr>
          <w:rFonts w:ascii="Courier New" w:eastAsia="Times New Roman" w:hAnsi="Courier New" w:cs="Courier New"/>
          <w:color w:val="000000"/>
          <w:sz w:val="20"/>
        </w:rPr>
        <w:t xml:space="preserve">     |</w:t>
      </w:r>
    </w:p>
    <w:p w14:paraId="3E8BD30F" w14:textId="1C6E443A" w:rsidR="00593FC5" w:rsidRPr="00A56C16" w:rsidRDefault="00593FC5" w:rsidP="00593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lang w:val="en-US"/>
        </w:rPr>
        <w:t>+-+-+-+-+-+-+-+-+-+-+-+-+-+-+-+-+-+-+-+-+-+-+-+-+-+-+-+-+-+-+-+-+</w:t>
      </w:r>
    </w:p>
    <w:p w14:paraId="23CE70F8" w14:textId="532B5834" w:rsidR="00593FC5" w:rsidRPr="00A56C16" w:rsidRDefault="00593FC5" w:rsidP="00593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E|</w:t>
      </w:r>
      <w:r w:rsidRPr="00090904">
        <w:rPr>
          <w:rFonts w:ascii="Courier New" w:eastAsia="Times New Roman" w:hAnsi="Courier New" w:cs="Courier New"/>
          <w:b/>
          <w:bCs/>
          <w:color w:val="000000"/>
          <w:sz w:val="20"/>
          <w:lang w:val="en-US"/>
        </w:rPr>
        <w:t>EDB</w:t>
      </w:r>
      <w:r>
        <w:rPr>
          <w:rFonts w:ascii="Courier New" w:eastAsia="Times New Roman" w:hAnsi="Courier New" w:cs="Courier New"/>
          <w:color w:val="000000"/>
          <w:sz w:val="20"/>
          <w:lang w:val="en-US"/>
        </w:rPr>
        <w:t>|</w:t>
      </w:r>
      <w:r>
        <w:rPr>
          <w:rFonts w:ascii="Courier New" w:eastAsia="Times New Roman" w:hAnsi="Courier New" w:cs="Courier New"/>
          <w:color w:val="000000"/>
          <w:sz w:val="20"/>
          <w:lang w:val="en-US"/>
        </w:rPr>
        <w:t>R</w:t>
      </w:r>
      <w:proofErr w:type="gramStart"/>
      <w:r>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Imp</w:t>
      </w:r>
      <w:proofErr w:type="gramEnd"/>
      <w:r>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    </w:t>
      </w:r>
      <w:r w:rsidR="00090904">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 PSSN </w:t>
      </w:r>
      <w:r w:rsidR="00090904">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w:t>
      </w:r>
      <w:r>
        <w:rPr>
          <w:rFonts w:ascii="Courier New" w:eastAsia="Times New Roman" w:hAnsi="Courier New" w:cs="Courier New"/>
          <w:color w:val="000000"/>
          <w:sz w:val="20"/>
          <w:lang w:val="en-US"/>
        </w:rPr>
        <w:t xml:space="preserve">        COUNT              |</w:t>
      </w:r>
      <w:r w:rsidR="00090904">
        <w:rPr>
          <w:rFonts w:ascii="Courier New" w:eastAsia="Times New Roman" w:hAnsi="Courier New" w:cs="Courier New"/>
          <w:color w:val="000000"/>
          <w:sz w:val="20"/>
          <w:lang w:val="en-US"/>
        </w:rPr>
        <w:t>PSN</w:t>
      </w:r>
    </w:p>
    <w:p w14:paraId="41D0AC71" w14:textId="77777777" w:rsidR="00593FC5" w:rsidRPr="00A56C16" w:rsidRDefault="00593FC5" w:rsidP="00593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7D74366D" w14:textId="2E09B8B8" w:rsidR="00593FC5" w:rsidRPr="00A56C16" w:rsidRDefault="00593FC5" w:rsidP="00593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sidR="00090904">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  </w:t>
      </w:r>
      <w:r w:rsidR="00090904">
        <w:rPr>
          <w:rFonts w:ascii="Courier New" w:eastAsia="Times New Roman" w:hAnsi="Courier New" w:cs="Courier New"/>
          <w:color w:val="000000"/>
          <w:sz w:val="20"/>
          <w:lang w:val="en-US"/>
        </w:rPr>
        <w:t xml:space="preserve">                  </w:t>
      </w:r>
      <w:proofErr w:type="spellStart"/>
      <w:r>
        <w:rPr>
          <w:rFonts w:ascii="Courier New" w:eastAsia="Times New Roman" w:hAnsi="Courier New" w:cs="Courier New"/>
          <w:color w:val="000000"/>
          <w:sz w:val="20"/>
          <w:lang w:val="en-US"/>
        </w:rPr>
        <w:t>PSSize</w:t>
      </w:r>
      <w:proofErr w:type="spellEnd"/>
      <w:r>
        <w:rPr>
          <w:rFonts w:ascii="Courier New" w:eastAsia="Times New Roman" w:hAnsi="Courier New" w:cs="Courier New"/>
          <w:color w:val="000000"/>
          <w:sz w:val="20"/>
          <w:lang w:val="en-US"/>
        </w:rPr>
        <w:t xml:space="preserve"> </w:t>
      </w:r>
      <w:r w:rsidR="00090904">
        <w:rPr>
          <w:rFonts w:ascii="Courier New" w:eastAsia="Times New Roman" w:hAnsi="Courier New" w:cs="Courier New"/>
          <w:color w:val="000000"/>
          <w:sz w:val="20"/>
          <w:lang w:val="en-US"/>
        </w:rPr>
        <w:t xml:space="preserve">                      |</w:t>
      </w:r>
    </w:p>
    <w:p w14:paraId="6E58E975" w14:textId="77777777" w:rsidR="00593FC5" w:rsidRPr="00A56C16" w:rsidRDefault="00593FC5" w:rsidP="00593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00AAB516" w14:textId="141769BB" w:rsidR="007F6DA5" w:rsidRDefault="007F6DA5" w:rsidP="007F6DA5">
      <w:pPr>
        <w:rPr>
          <w:lang w:val="en-US"/>
        </w:rPr>
      </w:pPr>
    </w:p>
    <w:p w14:paraId="613FE5E7" w14:textId="779255CF" w:rsidR="00090904" w:rsidRDefault="00090904" w:rsidP="00090904">
      <w:pPr>
        <w:pStyle w:val="Heading1"/>
        <w:numPr>
          <w:ilvl w:val="0"/>
          <w:numId w:val="3"/>
        </w:numPr>
      </w:pPr>
      <w:r>
        <w:t>Proposal</w:t>
      </w:r>
    </w:p>
    <w:p w14:paraId="43F2D1A6" w14:textId="05944AA8" w:rsidR="00090904" w:rsidRPr="007F6DA5" w:rsidRDefault="00090904" w:rsidP="007F6DA5">
      <w:pPr>
        <w:rPr>
          <w:lang w:val="en-US"/>
        </w:rPr>
      </w:pPr>
      <w:r>
        <w:rPr>
          <w:lang w:val="en-US"/>
        </w:rPr>
        <w:t>We propose to add the end of burst marking to the SA4-define RTP header extension and work on the guidelines on how to set the field.</w:t>
      </w:r>
      <w:bookmarkEnd w:id="0"/>
    </w:p>
    <w:sectPr w:rsidR="00090904" w:rsidRPr="007F6DA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2A9F6" w14:textId="77777777" w:rsidR="00834FA3" w:rsidRDefault="00834FA3">
      <w:r>
        <w:separator/>
      </w:r>
    </w:p>
  </w:endnote>
  <w:endnote w:type="continuationSeparator" w:id="0">
    <w:p w14:paraId="6B38C481" w14:textId="77777777" w:rsidR="00834FA3" w:rsidRDefault="0083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C7DAC" w14:textId="77777777" w:rsidR="00834FA3" w:rsidRDefault="00834FA3">
      <w:r>
        <w:separator/>
      </w:r>
    </w:p>
  </w:footnote>
  <w:footnote w:type="continuationSeparator" w:id="0">
    <w:p w14:paraId="510BED7A" w14:textId="77777777" w:rsidR="00834FA3" w:rsidRDefault="0083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26A4FD1D" w:rsidR="00DA292D" w:rsidRPr="006C359E"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 xml:space="preserve">SG SA4 </w:t>
    </w:r>
    <w:r w:rsidR="00DF7631">
      <w:rPr>
        <w:rFonts w:ascii="Arial" w:eastAsia="SimSun" w:hAnsi="Arial" w:cs="Arial"/>
        <w:sz w:val="22"/>
        <w:lang w:val="en-US"/>
      </w:rPr>
      <w:t>RTC SWG Post #12</w:t>
    </w:r>
    <w:r w:rsidR="001921D4">
      <w:rPr>
        <w:rFonts w:ascii="Arial" w:eastAsia="SimSun" w:hAnsi="Arial" w:cs="Arial"/>
        <w:sz w:val="22"/>
        <w:lang w:val="en-US"/>
      </w:rPr>
      <w:t>2</w:t>
    </w:r>
    <w:r w:rsidR="00DF7631">
      <w:rPr>
        <w:rFonts w:ascii="Arial" w:eastAsia="SimSun" w:hAnsi="Arial" w:cs="Arial"/>
        <w:sz w:val="22"/>
        <w:lang w:val="en-US"/>
      </w:rPr>
      <w:t xml:space="preserve"> Ad-hoc Call</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Pr>
        <w:rFonts w:ascii="Arial" w:eastAsia="SimSun" w:hAnsi="Arial" w:cs="Arial"/>
        <w:b/>
        <w:i/>
        <w:sz w:val="28"/>
        <w:szCs w:val="28"/>
      </w:rPr>
      <w:t>S4</w:t>
    </w:r>
    <w:r w:rsidR="00DF7631">
      <w:rPr>
        <w:rFonts w:ascii="Arial" w:eastAsia="SimSun" w:hAnsi="Arial" w:cs="Arial"/>
        <w:b/>
        <w:i/>
        <w:sz w:val="28"/>
        <w:szCs w:val="28"/>
      </w:rPr>
      <w:t>aR2300</w:t>
    </w:r>
    <w:r w:rsidR="001921D4">
      <w:rPr>
        <w:rFonts w:ascii="Arial" w:eastAsia="SimSun" w:hAnsi="Arial" w:cs="Arial"/>
        <w:b/>
        <w:i/>
        <w:sz w:val="28"/>
        <w:szCs w:val="28"/>
      </w:rPr>
      <w:t>46</w:t>
    </w:r>
  </w:p>
  <w:p w14:paraId="3B56539F" w14:textId="0E91F453" w:rsidR="008075BF" w:rsidRPr="00DA292D" w:rsidRDefault="001921D4"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15</w:t>
    </w:r>
    <w:r w:rsidRPr="001921D4">
      <w:rPr>
        <w:rFonts w:ascii="Arial" w:eastAsia="SimSun" w:hAnsi="Arial" w:cs="Arial"/>
        <w:sz w:val="22"/>
        <w:vertAlign w:val="superscript"/>
        <w:lang w:eastAsia="zh-CN"/>
      </w:rPr>
      <w:t>th</w:t>
    </w:r>
    <w:r>
      <w:rPr>
        <w:rFonts w:ascii="Arial" w:eastAsia="SimSun" w:hAnsi="Arial" w:cs="Arial"/>
        <w:sz w:val="22"/>
        <w:lang w:eastAsia="zh-CN"/>
      </w:rPr>
      <w:t xml:space="preserve"> March</w:t>
    </w:r>
    <w:r w:rsidR="00DA292D">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1975134722">
    <w:abstractNumId w:val="10"/>
  </w:num>
  <w:num w:numId="16" w16cid:durableId="1712026302">
    <w:abstractNumId w:val="7"/>
  </w:num>
  <w:num w:numId="17" w16cid:durableId="2046057848">
    <w:abstractNumId w:val="13"/>
  </w:num>
  <w:num w:numId="18" w16cid:durableId="989986992">
    <w:abstractNumId w:val="13"/>
  </w:num>
  <w:num w:numId="19" w16cid:durableId="1419518851">
    <w:abstractNumId w:val="3"/>
  </w:num>
  <w:num w:numId="20" w16cid:durableId="69009680">
    <w:abstractNumId w:val="13"/>
  </w:num>
  <w:num w:numId="21" w16cid:durableId="1903441439">
    <w:abstractNumId w:val="13"/>
  </w:num>
  <w:num w:numId="22" w16cid:durableId="16837347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438</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2023-03-13T04:08:00Z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