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F8FCF8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3F59CF">
        <w:rPr>
          <w:rFonts w:ascii="Arial" w:hAnsi="Arial" w:cs="Arial"/>
          <w:b/>
          <w:bCs/>
          <w:szCs w:val="24"/>
          <w:lang w:val="pt-BR"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82FAE9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[5G_RTP] RTP Header Extension for PDU SET Marking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510FD097" w14:textId="275986C2" w:rsidR="00EB6F24" w:rsidRDefault="00EB6F24" w:rsidP="00C112DE">
      <w:pPr>
        <w:rPr>
          <w:lang w:val="en-US"/>
        </w:rPr>
      </w:pPr>
      <w:r>
        <w:rPr>
          <w:lang w:val="en-US"/>
        </w:rPr>
        <w:t>In the communication with SA2, it was agreed that SA4 will define the RTP header extension to address the PDU Set marking use cases and requirements. In this contribution, we identify these requirements and propose an initial definition of the RTP header extension.</w:t>
      </w:r>
    </w:p>
    <w:p w14:paraId="30939A18" w14:textId="6464C9A2" w:rsidR="00EB6F24" w:rsidRDefault="00EB6F24" w:rsidP="00EB6F24">
      <w:pPr>
        <w:pStyle w:val="Heading1"/>
        <w:numPr>
          <w:ilvl w:val="0"/>
          <w:numId w:val="3"/>
        </w:numPr>
      </w:pPr>
      <w:r>
        <w:t>PDU Set marking requirements</w:t>
      </w:r>
    </w:p>
    <w:p w14:paraId="5CF35EF7" w14:textId="77777777" w:rsidR="00C31C69" w:rsidRDefault="00EB6F24" w:rsidP="00EB6F24">
      <w:pPr>
        <w:rPr>
          <w:lang w:val="en-US"/>
        </w:rPr>
      </w:pPr>
      <w:r>
        <w:rPr>
          <w:lang w:val="en-US"/>
        </w:rPr>
        <w:t xml:space="preserve">In TR 23.700-60, SA2 lists their potential architectural optimization areas as key issues, for which they </w:t>
      </w:r>
      <w:r w:rsidR="00C31C69">
        <w:rPr>
          <w:lang w:val="en-US"/>
        </w:rPr>
        <w:t>concluded studying</w:t>
      </w:r>
      <w:r>
        <w:rPr>
          <w:lang w:val="en-US"/>
        </w:rPr>
        <w:t xml:space="preserve"> solutions</w:t>
      </w:r>
      <w:r w:rsidR="00C31C69">
        <w:rPr>
          <w:lang w:val="en-US"/>
        </w:rPr>
        <w:t xml:space="preserve"> during their #154 meeting</w:t>
      </w:r>
      <w:r>
        <w:rPr>
          <w:lang w:val="en-US"/>
        </w:rPr>
        <w:t xml:space="preserve">. </w:t>
      </w:r>
    </w:p>
    <w:p w14:paraId="51E84CD0" w14:textId="0C1A8F55" w:rsidR="00C31C69" w:rsidRDefault="00C31C69" w:rsidP="00C31C69">
      <w:pPr>
        <w:rPr>
          <w:lang w:val="en-US"/>
        </w:rPr>
      </w:pPr>
      <w:r>
        <w:rPr>
          <w:lang w:val="en-US"/>
        </w:rPr>
        <w:t xml:space="preserve">The conclusions for </w:t>
      </w:r>
      <w:r w:rsidR="00EB6F24">
        <w:rPr>
          <w:lang w:val="en-US"/>
        </w:rPr>
        <w:t xml:space="preserve">KI#4 and KI#5 </w:t>
      </w:r>
      <w:r>
        <w:rPr>
          <w:lang w:val="en-US"/>
        </w:rPr>
        <w:t>are indicative to what SA4 is requested to supply as part of the PDU Set marking.</w:t>
      </w:r>
    </w:p>
    <w:p w14:paraId="5FDDC5A3" w14:textId="77777777" w:rsidR="00EB6F24" w:rsidRDefault="00EB6F24" w:rsidP="00EB6F24">
      <w:pPr>
        <w:rPr>
          <w:lang w:val="en-US"/>
        </w:rPr>
      </w:pPr>
      <w:r>
        <w:rPr>
          <w:lang w:val="en-US"/>
        </w:rPr>
        <w:t>The RTP header extension needs to provide at least the following information:</w:t>
      </w:r>
    </w:p>
    <w:p w14:paraId="59F3F0A1" w14:textId="6F515689" w:rsidR="00EB6F24" w:rsidRDefault="00EB6F24" w:rsidP="00EB6F24">
      <w:pPr>
        <w:numPr>
          <w:ilvl w:val="0"/>
          <w:numId w:val="16"/>
        </w:numPr>
        <w:rPr>
          <w:lang w:val="en-US"/>
        </w:rPr>
      </w:pPr>
      <w:r>
        <w:rPr>
          <w:lang w:val="en-US"/>
        </w:rPr>
        <w:t xml:space="preserve">PDU Set </w:t>
      </w:r>
      <w:r w:rsidR="008E1508">
        <w:rPr>
          <w:lang w:val="en-US"/>
        </w:rPr>
        <w:t>sequence number</w:t>
      </w:r>
    </w:p>
    <w:p w14:paraId="7E633856" w14:textId="01C059A5" w:rsidR="00EB6F24" w:rsidRDefault="00EB6F24" w:rsidP="00EB6F24">
      <w:pPr>
        <w:numPr>
          <w:ilvl w:val="0"/>
          <w:numId w:val="16"/>
        </w:numPr>
        <w:rPr>
          <w:lang w:val="en-US"/>
        </w:rPr>
      </w:pPr>
      <w:r>
        <w:rPr>
          <w:lang w:val="en-US"/>
        </w:rPr>
        <w:t>Number of PDUs in PDU set</w:t>
      </w:r>
      <w:r w:rsidR="00C31C69">
        <w:rPr>
          <w:lang w:val="en-US"/>
        </w:rPr>
        <w:t xml:space="preserve"> </w:t>
      </w:r>
    </w:p>
    <w:p w14:paraId="4B3BC20B" w14:textId="66320076" w:rsidR="008E1508" w:rsidRDefault="008E1508" w:rsidP="00EB6F24">
      <w:pPr>
        <w:numPr>
          <w:ilvl w:val="0"/>
          <w:numId w:val="16"/>
        </w:numPr>
        <w:rPr>
          <w:lang w:val="en-US"/>
        </w:rPr>
      </w:pPr>
      <w:r>
        <w:rPr>
          <w:lang w:val="en-US"/>
        </w:rPr>
        <w:t>Sequence number of PDU within the PDU Set</w:t>
      </w:r>
    </w:p>
    <w:p w14:paraId="3F753201" w14:textId="531F5263" w:rsidR="00EB6F24" w:rsidRDefault="00EB6F24" w:rsidP="00EB6F24">
      <w:pPr>
        <w:numPr>
          <w:ilvl w:val="0"/>
          <w:numId w:val="16"/>
        </w:numPr>
        <w:rPr>
          <w:lang w:val="en-US"/>
        </w:rPr>
      </w:pPr>
      <w:r>
        <w:rPr>
          <w:lang w:val="en-US"/>
        </w:rPr>
        <w:t>Boundaries of the PDU set (i.e., End of PDU Set marking or PDU Set size in number of PDUs)</w:t>
      </w:r>
    </w:p>
    <w:p w14:paraId="73A88112" w14:textId="71CE7CF4" w:rsidR="008E1508" w:rsidRDefault="008E1508" w:rsidP="00EB6F24">
      <w:pPr>
        <w:numPr>
          <w:ilvl w:val="0"/>
          <w:numId w:val="16"/>
        </w:numPr>
        <w:rPr>
          <w:lang w:val="en-US"/>
        </w:rPr>
      </w:pPr>
      <w:r>
        <w:rPr>
          <w:lang w:val="en-US"/>
        </w:rPr>
        <w:t>Size in bytes of a PDU Set</w:t>
      </w:r>
    </w:p>
    <w:p w14:paraId="199C8804" w14:textId="4E967CA1" w:rsidR="008E1508" w:rsidRDefault="008E1508" w:rsidP="00EB6F24">
      <w:pPr>
        <w:numPr>
          <w:ilvl w:val="0"/>
          <w:numId w:val="16"/>
        </w:numPr>
        <w:rPr>
          <w:lang w:val="en-US"/>
        </w:rPr>
      </w:pPr>
      <w:r>
        <w:rPr>
          <w:lang w:val="en-US"/>
        </w:rPr>
        <w:t>PDU Set importance</w:t>
      </w:r>
    </w:p>
    <w:p w14:paraId="2BBC81A2" w14:textId="2081E1D7" w:rsidR="008E1508" w:rsidRDefault="008E1508" w:rsidP="008E1508">
      <w:pPr>
        <w:rPr>
          <w:lang w:val="en-US"/>
        </w:rPr>
      </w:pPr>
      <w:r>
        <w:rPr>
          <w:lang w:val="en-US"/>
        </w:rPr>
        <w:t xml:space="preserve">Additionally, the following information </w:t>
      </w:r>
      <w:proofErr w:type="spellStart"/>
      <w:r>
        <w:rPr>
          <w:lang w:val="en-US"/>
        </w:rPr>
        <w:t>maybe</w:t>
      </w:r>
      <w:proofErr w:type="spellEnd"/>
      <w:r>
        <w:rPr>
          <w:lang w:val="en-US"/>
        </w:rPr>
        <w:t xml:space="preserve"> useful:</w:t>
      </w:r>
    </w:p>
    <w:p w14:paraId="0E0C2676" w14:textId="77777777" w:rsidR="00EB6F24" w:rsidRDefault="00EB6F24" w:rsidP="00EB6F24">
      <w:pPr>
        <w:numPr>
          <w:ilvl w:val="0"/>
          <w:numId w:val="16"/>
        </w:numPr>
        <w:rPr>
          <w:lang w:val="en-US"/>
        </w:rPr>
      </w:pPr>
      <w:r>
        <w:rPr>
          <w:lang w:val="en-US"/>
        </w:rPr>
        <w:t>If FEC is used, the FEC code rate for the FEC block that carries that PDU Set</w:t>
      </w:r>
    </w:p>
    <w:p w14:paraId="032C2508" w14:textId="77777777" w:rsidR="00EB6F24" w:rsidRPr="00CD5384" w:rsidRDefault="00EB6F24" w:rsidP="00EB6F24">
      <w:pPr>
        <w:numPr>
          <w:ilvl w:val="0"/>
          <w:numId w:val="16"/>
        </w:numPr>
        <w:rPr>
          <w:lang w:val="en-US"/>
        </w:rPr>
      </w:pPr>
      <w:r>
        <w:rPr>
          <w:lang w:val="en-US"/>
        </w:rPr>
        <w:t>Error resilience information of the PDU Set</w:t>
      </w:r>
    </w:p>
    <w:p w14:paraId="1A737AE9" w14:textId="051A6FA2" w:rsidR="00EB6F24" w:rsidRDefault="00EB6F24" w:rsidP="00EB6F24">
      <w:pPr>
        <w:pStyle w:val="Heading1"/>
        <w:numPr>
          <w:ilvl w:val="0"/>
          <w:numId w:val="3"/>
        </w:numPr>
      </w:pPr>
      <w:r>
        <w:t>Proposed RTP Header Extension</w:t>
      </w:r>
    </w:p>
    <w:bookmarkEnd w:id="0"/>
    <w:p w14:paraId="239C73B5" w14:textId="256CA15B" w:rsidR="00A50360" w:rsidRDefault="008F1E8D" w:rsidP="008E1508">
      <w:pPr>
        <w:rPr>
          <w:lang w:val="en-US"/>
        </w:rPr>
      </w:pPr>
      <w:r>
        <w:rPr>
          <w:lang w:val="en-US"/>
        </w:rPr>
        <w:t>The defined extension must follow the general mechanism for defining RTP header extensions as defined in RFC</w:t>
      </w:r>
      <w:r w:rsidR="00A50360">
        <w:rPr>
          <w:lang w:val="en-US"/>
        </w:rPr>
        <w:t xml:space="preserve">8285. It is preferable that the RTP header extension be of fixed size and </w:t>
      </w:r>
      <w:r w:rsidR="00A56C16">
        <w:rPr>
          <w:lang w:val="en-US"/>
        </w:rPr>
        <w:t xml:space="preserve">the extension element for the PDU Set marking </w:t>
      </w:r>
      <w:r w:rsidR="00A50360">
        <w:rPr>
          <w:lang w:val="en-US"/>
        </w:rPr>
        <w:t xml:space="preserve">be placed as the first </w:t>
      </w:r>
      <w:r w:rsidR="00A56C16">
        <w:rPr>
          <w:lang w:val="en-US"/>
        </w:rPr>
        <w:t xml:space="preserve">element in the RTP header </w:t>
      </w:r>
      <w:r w:rsidR="00A50360">
        <w:rPr>
          <w:lang w:val="en-US"/>
        </w:rPr>
        <w:t xml:space="preserve">extension, to simplify their detection and processing by the UPF. </w:t>
      </w:r>
    </w:p>
    <w:p w14:paraId="5376E824" w14:textId="500D30B2" w:rsidR="00A56C16" w:rsidRDefault="00A56C16" w:rsidP="008E1508">
      <w:pPr>
        <w:rPr>
          <w:lang w:val="en-US"/>
        </w:rPr>
      </w:pPr>
      <w:r>
        <w:rPr>
          <w:lang w:val="en-US"/>
        </w:rPr>
        <w:lastRenderedPageBreak/>
        <w:t>We propose the following syntax and semantics for the PDU Set marking:</w:t>
      </w:r>
    </w:p>
    <w:p w14:paraId="3C519BF4"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0                   1                   2                   3</w:t>
      </w:r>
    </w:p>
    <w:p w14:paraId="21D8BEBA"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0 1 2 3 4 5 6 7 8 9 0 1 2 3 4 5 6 7 8 9 0 1 2 3 4 5 6 7 8 9 0 1</w:t>
      </w:r>
    </w:p>
    <w:p w14:paraId="1319AC4E"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5AF3F1CB" w14:textId="210D97ED"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       0xBE    |    0xDE       |           length</w:t>
      </w:r>
      <w:r w:rsidR="00E31A7C">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p>
    <w:p w14:paraId="5B8FE132"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39BF1CF2" w14:textId="35B844F5"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roofErr w:type="gramStart"/>
      <w:r w:rsidRPr="00A56C16">
        <w:rPr>
          <w:rFonts w:ascii="Courier New" w:eastAsia="Times New Roman" w:hAnsi="Courier New" w:cs="Courier New"/>
          <w:color w:val="000000"/>
          <w:sz w:val="20"/>
          <w:lang w:val="en-US"/>
        </w:rPr>
        <w:t>|  ID</w:t>
      </w:r>
      <w:proofErr w:type="gramEnd"/>
      <w:r w:rsidRPr="00A56C16">
        <w:rPr>
          <w:rFonts w:ascii="Courier New" w:eastAsia="Times New Roman" w:hAnsi="Courier New" w:cs="Courier New"/>
          <w:color w:val="000000"/>
          <w:sz w:val="20"/>
          <w:lang w:val="en-US"/>
        </w:rPr>
        <w:t xml:space="preserve">   | L=</w:t>
      </w:r>
      <w:r w:rsidR="0067558C">
        <w:rPr>
          <w:rFonts w:ascii="Courier New" w:eastAsia="Times New Roman" w:hAnsi="Courier New" w:cs="Courier New"/>
          <w:color w:val="000000"/>
          <w:sz w:val="20"/>
          <w:lang w:val="en-US"/>
        </w:rPr>
        <w:t>14</w:t>
      </w:r>
      <w:r w:rsidRPr="00A56C16">
        <w:rPr>
          <w:rFonts w:ascii="Courier New" w:eastAsia="Times New Roman" w:hAnsi="Courier New" w:cs="Courier New"/>
          <w:color w:val="000000"/>
          <w:sz w:val="20"/>
          <w:lang w:val="en-US"/>
        </w:rPr>
        <w:t xml:space="preserve">   |</w:t>
      </w:r>
      <w:r w:rsidR="0067558C">
        <w:rPr>
          <w:rFonts w:ascii="Courier New" w:eastAsia="Times New Roman" w:hAnsi="Courier New" w:cs="Courier New"/>
          <w:color w:val="000000"/>
          <w:sz w:val="20"/>
          <w:lang w:val="en-US"/>
        </w:rPr>
        <w:t>S</w:t>
      </w:r>
      <w:r w:rsidR="00E31A7C">
        <w:rPr>
          <w:rFonts w:ascii="Courier New" w:eastAsia="Times New Roman" w:hAnsi="Courier New" w:cs="Courier New"/>
          <w:color w:val="000000"/>
          <w:sz w:val="20"/>
          <w:lang w:val="en-US"/>
        </w:rPr>
        <w:t>|</w:t>
      </w:r>
      <w:r w:rsidR="0067558C">
        <w:rPr>
          <w:rFonts w:ascii="Courier New" w:eastAsia="Times New Roman" w:hAnsi="Courier New" w:cs="Courier New"/>
          <w:color w:val="000000"/>
          <w:sz w:val="20"/>
          <w:lang w:val="en-US"/>
        </w:rPr>
        <w:t>E</w:t>
      </w:r>
      <w:r w:rsidR="00E31A7C">
        <w:rPr>
          <w:rFonts w:ascii="Courier New" w:eastAsia="Times New Roman" w:hAnsi="Courier New" w:cs="Courier New"/>
          <w:color w:val="000000"/>
          <w:sz w:val="20"/>
          <w:lang w:val="en-US"/>
        </w:rPr>
        <w:t xml:space="preserve">|D| </w:t>
      </w:r>
      <w:r w:rsidR="0067558C">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 xml:space="preserve">RES   |  </w:t>
      </w:r>
      <w:proofErr w:type="spellStart"/>
      <w:r w:rsidR="00E31A7C">
        <w:rPr>
          <w:rFonts w:ascii="Courier New" w:eastAsia="Times New Roman" w:hAnsi="Courier New" w:cs="Courier New"/>
          <w:color w:val="000000"/>
          <w:sz w:val="20"/>
          <w:lang w:val="en-US"/>
        </w:rPr>
        <w:t>Pri</w:t>
      </w:r>
      <w:proofErr w:type="spellEnd"/>
      <w:r w:rsidR="00E31A7C">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r w:rsidR="0067558C">
        <w:rPr>
          <w:rFonts w:ascii="Courier New" w:eastAsia="Times New Roman" w:hAnsi="Courier New" w:cs="Courier New"/>
          <w:color w:val="000000"/>
          <w:sz w:val="20"/>
          <w:lang w:val="en-US"/>
        </w:rPr>
        <w:t>RES</w:t>
      </w:r>
      <w:r>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 xml:space="preserve">     PSSN     </w:t>
      </w:r>
      <w:r w:rsidRPr="00A56C16">
        <w:rPr>
          <w:rFonts w:ascii="Courier New" w:eastAsia="Times New Roman" w:hAnsi="Courier New" w:cs="Courier New"/>
          <w:color w:val="000000"/>
          <w:sz w:val="20"/>
          <w:lang w:val="en-US"/>
        </w:rPr>
        <w:t>|</w:t>
      </w:r>
    </w:p>
    <w:p w14:paraId="73C64B53"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1944A012" w14:textId="52F9A540"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               COUNT           |</w:t>
      </w:r>
      <w:r w:rsidRPr="00A56C16">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 xml:space="preserve">PSN   </w:t>
      </w:r>
      <w:r w:rsidRPr="00A56C16">
        <w:rPr>
          <w:rFonts w:ascii="Courier New" w:eastAsia="Times New Roman" w:hAnsi="Courier New" w:cs="Courier New"/>
          <w:color w:val="000000"/>
          <w:sz w:val="20"/>
          <w:lang w:val="en-US"/>
        </w:rPr>
        <w:t xml:space="preserve">   |  </w:t>
      </w:r>
      <w:r w:rsidR="00E31A7C">
        <w:rPr>
          <w:rFonts w:ascii="Courier New" w:eastAsia="Times New Roman" w:hAnsi="Courier New" w:cs="Courier New"/>
          <w:color w:val="000000"/>
          <w:sz w:val="20"/>
          <w:lang w:val="en-US"/>
        </w:rPr>
        <w:t xml:space="preserve">  </w:t>
      </w:r>
      <w:proofErr w:type="spellStart"/>
      <w:r w:rsidR="00E31A7C">
        <w:rPr>
          <w:rFonts w:ascii="Courier New" w:eastAsia="Times New Roman" w:hAnsi="Courier New" w:cs="Courier New"/>
          <w:color w:val="000000"/>
          <w:sz w:val="20"/>
          <w:lang w:val="en-US"/>
        </w:rPr>
        <w:t>PSSize</w:t>
      </w:r>
      <w:proofErr w:type="spellEnd"/>
      <w:r w:rsidR="00E31A7C">
        <w:rPr>
          <w:rFonts w:ascii="Courier New" w:eastAsia="Times New Roman" w:hAnsi="Courier New" w:cs="Courier New"/>
          <w:color w:val="000000"/>
          <w:sz w:val="20"/>
          <w:lang w:val="en-US"/>
        </w:rPr>
        <w:t xml:space="preserve"> ...</w:t>
      </w:r>
    </w:p>
    <w:p w14:paraId="78BDA22F" w14:textId="77777777" w:rsidR="00A56C16"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42A18121" w14:textId="16D60CA5" w:rsidR="0067558C" w:rsidRP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r w:rsidR="00E31A7C">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 xml:space="preserve">                     </w:t>
      </w:r>
      <w:r w:rsidR="0067558C">
        <w:rPr>
          <w:rFonts w:ascii="Courier New" w:eastAsia="Times New Roman" w:hAnsi="Courier New" w:cs="Courier New"/>
          <w:color w:val="000000"/>
          <w:sz w:val="20"/>
          <w:lang w:val="en-US"/>
        </w:rPr>
        <w:t xml:space="preserve"> </w:t>
      </w:r>
      <w:proofErr w:type="spellStart"/>
      <w:r w:rsidR="00E31A7C">
        <w:rPr>
          <w:rFonts w:ascii="Courier New" w:eastAsia="Times New Roman" w:hAnsi="Courier New" w:cs="Courier New"/>
          <w:color w:val="000000"/>
          <w:sz w:val="20"/>
          <w:lang w:val="en-US"/>
        </w:rPr>
        <w:t>PSSize</w:t>
      </w:r>
      <w:proofErr w:type="spellEnd"/>
      <w:r w:rsidRPr="00A56C16">
        <w:rPr>
          <w:rFonts w:ascii="Courier New" w:eastAsia="Times New Roman" w:hAnsi="Courier New" w:cs="Courier New"/>
          <w:color w:val="000000"/>
          <w:sz w:val="20"/>
          <w:lang w:val="en-US"/>
        </w:rPr>
        <w:t xml:space="preserve">                             |</w:t>
      </w:r>
    </w:p>
    <w:p w14:paraId="16FB410E" w14:textId="3BBD74B3" w:rsidR="00A56C16" w:rsidRDefault="00A56C16"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6E32C912" w14:textId="634A28B8" w:rsidR="0067558C" w:rsidRDefault="0067558C"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              k                |              </w:t>
      </w:r>
      <w:r w:rsidR="003E4F20">
        <w:rPr>
          <w:rFonts w:ascii="Courier New" w:eastAsia="Times New Roman" w:hAnsi="Courier New" w:cs="Courier New"/>
          <w:color w:val="000000"/>
          <w:sz w:val="20"/>
          <w:lang w:val="en-US"/>
        </w:rPr>
        <w:t xml:space="preserve"> r </w:t>
      </w:r>
      <w:r>
        <w:rPr>
          <w:rFonts w:ascii="Courier New" w:eastAsia="Times New Roman" w:hAnsi="Courier New" w:cs="Courier New"/>
          <w:color w:val="000000"/>
          <w:sz w:val="20"/>
          <w:lang w:val="en-US"/>
        </w:rPr>
        <w:t xml:space="preserve">              |</w:t>
      </w:r>
    </w:p>
    <w:p w14:paraId="6AE37392" w14:textId="01DE6148" w:rsidR="0067558C" w:rsidRPr="00A56C16" w:rsidRDefault="0067558C" w:rsidP="00A5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25120C3C" w14:textId="7D395AFD" w:rsidR="00A56C16" w:rsidRDefault="00A56C16" w:rsidP="008E1508">
      <w:pPr>
        <w:rPr>
          <w:lang w:val="en-US"/>
        </w:rPr>
      </w:pPr>
    </w:p>
    <w:p w14:paraId="1C649CDD" w14:textId="248A2C11" w:rsidR="0067558C" w:rsidRDefault="0067558C" w:rsidP="008E1508">
      <w:pPr>
        <w:rPr>
          <w:lang w:val="en-US"/>
        </w:rPr>
      </w:pPr>
      <w:r>
        <w:rPr>
          <w:lang w:val="en-US"/>
        </w:rPr>
        <w:t>The semantics of the fields are as follows:</w:t>
      </w:r>
    </w:p>
    <w:p w14:paraId="63C94B3C" w14:textId="11420C5F" w:rsidR="0067558C" w:rsidRDefault="0067558C" w:rsidP="0067558C">
      <w:pPr>
        <w:pStyle w:val="ListParagraph"/>
        <w:numPr>
          <w:ilvl w:val="0"/>
          <w:numId w:val="19"/>
        </w:numPr>
      </w:pPr>
      <w:r>
        <w:t xml:space="preserve">ID: identifier of the one-byte extension element. This identifier shall be negotiated using the SDP </w:t>
      </w:r>
      <w:proofErr w:type="spellStart"/>
      <w:r>
        <w:t>extmap</w:t>
      </w:r>
      <w:proofErr w:type="spellEnd"/>
      <w:r>
        <w:t xml:space="preserve"> attribute.</w:t>
      </w:r>
    </w:p>
    <w:p w14:paraId="2DE150C9" w14:textId="68E19446" w:rsidR="0067558C" w:rsidRDefault="0067558C" w:rsidP="0067558C">
      <w:pPr>
        <w:pStyle w:val="ListParagraph"/>
        <w:numPr>
          <w:ilvl w:val="0"/>
          <w:numId w:val="19"/>
        </w:numPr>
      </w:pPr>
      <w:r>
        <w:t xml:space="preserve">L: length minus one of the extension </w:t>
      </w:r>
      <w:proofErr w:type="gramStart"/>
      <w:r>
        <w:t>element</w:t>
      </w:r>
      <w:proofErr w:type="gramEnd"/>
      <w:r>
        <w:t>. This value shall be set to 14.</w:t>
      </w:r>
    </w:p>
    <w:p w14:paraId="2C9A390F" w14:textId="39DB9DB9" w:rsidR="0067558C" w:rsidRDefault="0067558C" w:rsidP="0067558C">
      <w:pPr>
        <w:pStyle w:val="ListParagraph"/>
        <w:numPr>
          <w:ilvl w:val="0"/>
          <w:numId w:val="19"/>
        </w:numPr>
      </w:pPr>
      <w:r>
        <w:t>S: this flag shall be set to one for the first PDU of the PDU Set.</w:t>
      </w:r>
    </w:p>
    <w:p w14:paraId="393E8545" w14:textId="34D1A97A" w:rsidR="0067558C" w:rsidRDefault="0067558C" w:rsidP="0067558C">
      <w:pPr>
        <w:pStyle w:val="ListParagraph"/>
        <w:numPr>
          <w:ilvl w:val="0"/>
          <w:numId w:val="19"/>
        </w:numPr>
      </w:pPr>
      <w:r>
        <w:t>E: this flag shall be set to one for the last PDU of the PDU Set.</w:t>
      </w:r>
    </w:p>
    <w:p w14:paraId="6A5F6AFC" w14:textId="2AD22232" w:rsidR="0067558C" w:rsidRDefault="0067558C" w:rsidP="0067558C">
      <w:pPr>
        <w:pStyle w:val="ListParagraph"/>
        <w:numPr>
          <w:ilvl w:val="0"/>
          <w:numId w:val="19"/>
        </w:numPr>
      </w:pPr>
      <w:r>
        <w:t>D: this flag shall be sent to 1 if it is known to the sender that the PDU may be discarded without significant impact to the reconstructed media.</w:t>
      </w:r>
    </w:p>
    <w:p w14:paraId="5A769887" w14:textId="5E431D63" w:rsidR="0067558C" w:rsidRDefault="0067558C" w:rsidP="0067558C">
      <w:pPr>
        <w:pStyle w:val="ListParagraph"/>
        <w:numPr>
          <w:ilvl w:val="0"/>
          <w:numId w:val="19"/>
        </w:numPr>
      </w:pPr>
      <w:proofErr w:type="spellStart"/>
      <w:r>
        <w:t>Pri</w:t>
      </w:r>
      <w:proofErr w:type="spellEnd"/>
      <w:r>
        <w:t xml:space="preserve">: the priority field indicates the importance of this PDU Set compared to other PDU Sets within the same stream. The default value shall be 8. Lower values indicate a higher importance PDU Set. </w:t>
      </w:r>
    </w:p>
    <w:p w14:paraId="4FCB4504" w14:textId="2D217EB4" w:rsidR="0067558C" w:rsidRDefault="0067558C" w:rsidP="0067558C">
      <w:pPr>
        <w:pStyle w:val="ListParagraph"/>
        <w:numPr>
          <w:ilvl w:val="0"/>
          <w:numId w:val="19"/>
        </w:numPr>
      </w:pPr>
      <w:r>
        <w:t>PSSN: the sequence number of the PDU Set to which the current PDU belongs. This value wraps around at 255, however, using the RTP packet sequence number and PSSN pair may be used to uniquely distinguish PDU Sets.</w:t>
      </w:r>
    </w:p>
    <w:p w14:paraId="44FDEA1A" w14:textId="12CB1E0F" w:rsidR="003E4F20" w:rsidRDefault="003E4F20" w:rsidP="0067558C">
      <w:pPr>
        <w:pStyle w:val="ListParagraph"/>
        <w:numPr>
          <w:ilvl w:val="0"/>
          <w:numId w:val="19"/>
        </w:numPr>
      </w:pPr>
      <w:r>
        <w:t>COUNT: the number of PDUs in this PDU set. The value 0 is used to indicate that the number of PDUs in this PDU Set is not known.</w:t>
      </w:r>
    </w:p>
    <w:p w14:paraId="5C872EE2" w14:textId="4E3ED7EF" w:rsidR="003E4F20" w:rsidRDefault="003E4F20" w:rsidP="0067558C">
      <w:pPr>
        <w:pStyle w:val="ListParagraph"/>
        <w:numPr>
          <w:ilvl w:val="0"/>
          <w:numId w:val="19"/>
        </w:numPr>
      </w:pPr>
      <w:r>
        <w:t xml:space="preserve">PSN: the sequence number of the current PDU within the PDU Set. A receiver shall use the RTP packet sequence number together with the PSN to detect PDU Sets that contain more than 255 PDUs </w:t>
      </w:r>
    </w:p>
    <w:p w14:paraId="5BEEDC71" w14:textId="122F4768" w:rsidR="003E4F20" w:rsidRDefault="003E4F20" w:rsidP="0067558C">
      <w:pPr>
        <w:pStyle w:val="ListParagraph"/>
        <w:numPr>
          <w:ilvl w:val="0"/>
          <w:numId w:val="19"/>
        </w:numPr>
      </w:pPr>
      <w:proofErr w:type="spellStart"/>
      <w:r>
        <w:t>PSSize</w:t>
      </w:r>
      <w:proofErr w:type="spellEnd"/>
      <w:r>
        <w:t xml:space="preserve">: the size in bytes of all PDUs of the PDU set, excluding RTP headers and header extensions, effectively conveying the size of the media data of that PDU Set. If unknown, the </w:t>
      </w:r>
      <w:proofErr w:type="spellStart"/>
      <w:r>
        <w:t>PSSize</w:t>
      </w:r>
      <w:proofErr w:type="spellEnd"/>
      <w:r>
        <w:t xml:space="preserve"> field shall be set to 0.</w:t>
      </w:r>
    </w:p>
    <w:p w14:paraId="20A91937" w14:textId="1BA9F4B5" w:rsidR="003E4F20" w:rsidRDefault="003E4F20" w:rsidP="0067558C">
      <w:pPr>
        <w:pStyle w:val="ListParagraph"/>
        <w:numPr>
          <w:ilvl w:val="0"/>
          <w:numId w:val="19"/>
        </w:numPr>
      </w:pPr>
      <w:r>
        <w:t>k, r: If FEC is used, k and n-k shall convey the number of source and repair packets of the FEC block to which the PDU Set belongs. If FEC is not used, these fields shall be set to 0.</w:t>
      </w:r>
    </w:p>
    <w:p w14:paraId="0A55E70C" w14:textId="77777777" w:rsidR="003E4F20" w:rsidRDefault="003E4F20" w:rsidP="003E4F20"/>
    <w:p w14:paraId="621D7F78" w14:textId="1EEDE402" w:rsidR="003E4F20" w:rsidRDefault="003E4F20" w:rsidP="003E4F20">
      <w:r>
        <w:t xml:space="preserve">It is suggested that the PDU Set marking header extension registers the following extension URI with IANA: </w:t>
      </w:r>
      <w:r w:rsidRPr="003E4F20">
        <w:rPr>
          <w:b/>
          <w:bCs/>
          <w:i/>
          <w:iCs/>
        </w:rPr>
        <w:t>urn:3</w:t>
      </w:r>
      <w:proofErr w:type="gramStart"/>
      <w:r w:rsidRPr="003E4F20">
        <w:rPr>
          <w:b/>
          <w:bCs/>
          <w:i/>
          <w:iCs/>
        </w:rPr>
        <w:t>gpp:pdu</w:t>
      </w:r>
      <w:proofErr w:type="gramEnd"/>
      <w:r w:rsidRPr="003E4F20">
        <w:rPr>
          <w:b/>
          <w:bCs/>
          <w:i/>
          <w:iCs/>
        </w:rPr>
        <w:t>-set-marking</w:t>
      </w:r>
      <w:r>
        <w:t>.</w:t>
      </w:r>
    </w:p>
    <w:p w14:paraId="2750DC99" w14:textId="77777777" w:rsidR="003E4F20" w:rsidRPr="0067558C" w:rsidRDefault="003E4F20" w:rsidP="003E4F20"/>
    <w:p w14:paraId="31DFDB63" w14:textId="77777777" w:rsidR="00583965" w:rsidRDefault="00583965" w:rsidP="007D1D47">
      <w:pPr>
        <w:pStyle w:val="Heading1"/>
        <w:numPr>
          <w:ilvl w:val="0"/>
          <w:numId w:val="3"/>
        </w:numPr>
      </w:pPr>
      <w:r>
        <w:lastRenderedPageBreak/>
        <w:t>Proposal</w:t>
      </w:r>
    </w:p>
    <w:p w14:paraId="73F02001" w14:textId="38F63DE9" w:rsidR="00F17FCB" w:rsidRDefault="00583965" w:rsidP="00DE5141">
      <w:pPr>
        <w:rPr>
          <w:lang w:val="en-US"/>
        </w:rPr>
      </w:pPr>
      <w:r>
        <w:rPr>
          <w:lang w:val="en-US"/>
        </w:rPr>
        <w:t>We propose to</w:t>
      </w:r>
      <w:r w:rsidR="006E242A">
        <w:rPr>
          <w:lang w:val="en-US"/>
        </w:rPr>
        <w:t xml:space="preserve"> agree this header extension definition as the baseline for the PDU Set marking and work on defining the guidelines on how to set the different fields for the 3GPP supported media types</w:t>
      </w:r>
      <w:r w:rsidR="00A50360">
        <w:rPr>
          <w:lang w:val="en-US"/>
        </w:rPr>
        <w:t xml:space="preserve">. </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8A89" w14:textId="77777777" w:rsidR="006A0CB4" w:rsidRDefault="006A0CB4">
      <w:r>
        <w:separator/>
      </w:r>
    </w:p>
  </w:endnote>
  <w:endnote w:type="continuationSeparator" w:id="0">
    <w:p w14:paraId="3CBD11C4" w14:textId="77777777" w:rsidR="006A0CB4" w:rsidRDefault="006A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9974" w14:textId="77777777" w:rsidR="006A0CB4" w:rsidRDefault="006A0CB4">
      <w:r>
        <w:separator/>
      </w:r>
    </w:p>
  </w:footnote>
  <w:footnote w:type="continuationSeparator" w:id="0">
    <w:p w14:paraId="7A6E666D" w14:textId="77777777" w:rsidR="006A0CB4" w:rsidRDefault="006A0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1A88A875" w:rsidR="00DA292D" w:rsidRPr="006C359E"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 xml:space="preserve">SG SA4 </w:t>
    </w:r>
    <w:r w:rsidR="00DF7631">
      <w:rPr>
        <w:rFonts w:ascii="Arial" w:eastAsia="SimSun" w:hAnsi="Arial" w:cs="Arial"/>
        <w:sz w:val="22"/>
        <w:lang w:val="en-US"/>
      </w:rPr>
      <w:t>RTC SWG Post #121 Ad-hoc Call</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Pr>
        <w:rFonts w:ascii="Arial" w:eastAsia="SimSun" w:hAnsi="Arial" w:cs="Arial"/>
        <w:b/>
        <w:i/>
        <w:sz w:val="28"/>
        <w:szCs w:val="28"/>
      </w:rPr>
      <w:t>S4</w:t>
    </w:r>
    <w:r w:rsidR="00DF7631">
      <w:rPr>
        <w:rFonts w:ascii="Arial" w:eastAsia="SimSun" w:hAnsi="Arial" w:cs="Arial"/>
        <w:b/>
        <w:i/>
        <w:sz w:val="28"/>
        <w:szCs w:val="28"/>
      </w:rPr>
      <w:t>aR230009</w:t>
    </w:r>
  </w:p>
  <w:p w14:paraId="3B56539F" w14:textId="5661DF98" w:rsidR="008075BF" w:rsidRPr="00DA292D" w:rsidRDefault="00DF7631"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Pr>
        <w:rFonts w:ascii="Arial" w:eastAsia="SimSun" w:hAnsi="Arial" w:cs="Arial"/>
        <w:sz w:val="22"/>
        <w:vertAlign w:val="superscript"/>
        <w:lang w:eastAsia="zh-CN"/>
      </w:rPr>
      <w:t>st</w:t>
    </w:r>
    <w:r w:rsidR="00DA292D">
      <w:rPr>
        <w:rFonts w:ascii="Arial" w:eastAsia="SimSun" w:hAnsi="Arial" w:cs="Arial"/>
        <w:sz w:val="22"/>
        <w:lang w:eastAsia="zh-CN"/>
      </w:rPr>
      <w:t xml:space="preserve"> </w:t>
    </w:r>
    <w:r>
      <w:rPr>
        <w:rFonts w:ascii="Arial" w:eastAsia="SimSun" w:hAnsi="Arial" w:cs="Arial"/>
        <w:sz w:val="22"/>
        <w:lang w:eastAsia="zh-CN"/>
      </w:rPr>
      <w:t>D</w:t>
    </w:r>
    <w:r w:rsidR="00DA292D">
      <w:rPr>
        <w:rFonts w:ascii="Arial" w:eastAsia="SimSun" w:hAnsi="Arial" w:cs="Arial"/>
        <w:sz w:val="22"/>
        <w:lang w:eastAsia="zh-CN"/>
      </w:rPr>
      <w:t>e</w:t>
    </w:r>
    <w:r>
      <w:rPr>
        <w:rFonts w:ascii="Arial" w:eastAsia="SimSun" w:hAnsi="Arial" w:cs="Arial"/>
        <w:sz w:val="22"/>
        <w:lang w:eastAsia="zh-CN"/>
      </w:rPr>
      <w:t>ce</w:t>
    </w:r>
    <w:r w:rsidR="00DA292D">
      <w:rPr>
        <w:rFonts w:ascii="Arial" w:eastAsia="SimSun" w:hAnsi="Arial" w:cs="Arial"/>
        <w:sz w:val="22"/>
        <w:lang w:eastAsia="zh-CN"/>
      </w:rPr>
      <w:t xml:space="preserve">mber </w:t>
    </w:r>
    <w:r w:rsidR="00DA292D" w:rsidRPr="006C359E">
      <w:rPr>
        <w:rFonts w:ascii="Arial" w:eastAsia="SimSun" w:hAnsi="Arial" w:cs="Arial"/>
        <w:sz w:val="22"/>
        <w:lang w:eastAsia="zh-CN"/>
      </w:rPr>
      <w:t>20</w:t>
    </w:r>
    <w:r w:rsidR="00DA292D">
      <w:rPr>
        <w:rFonts w:ascii="Arial" w:eastAsia="SimSun" w:hAnsi="Arial" w:cs="Arial"/>
        <w:sz w:val="22"/>
        <w:lang w:eastAsia="zh-CN"/>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1975134722">
    <w:abstractNumId w:val="10"/>
  </w:num>
  <w:num w:numId="16" w16cid:durableId="1712026302">
    <w:abstractNumId w:val="7"/>
  </w:num>
  <w:num w:numId="17" w16cid:durableId="2046057848">
    <w:abstractNumId w:val="13"/>
  </w:num>
  <w:num w:numId="18" w16cid:durableId="989986992">
    <w:abstractNumId w:val="13"/>
  </w:num>
  <w:num w:numId="19" w16cid:durableId="141951885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56D88"/>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681</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2022-11-29T06:22:00Z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