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6C18" w14:textId="50538B0B" w:rsidR="00F844E2" w:rsidRPr="006E7343" w:rsidRDefault="00F844E2" w:rsidP="00F844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</w:t>
      </w:r>
      <w:r w:rsidR="00423ED3">
        <w:rPr>
          <w:b/>
          <w:i/>
          <w:noProof/>
          <w:sz w:val="28"/>
          <w:lang w:val="it-IT"/>
        </w:rPr>
        <w:t>502</w:t>
      </w:r>
    </w:p>
    <w:p w14:paraId="56DA893E" w14:textId="77777777" w:rsidR="00F844E2" w:rsidRDefault="00F844E2" w:rsidP="00F844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 2024, Amsterdam (The Netherlands)</w:t>
      </w:r>
    </w:p>
    <w:p w14:paraId="2FD7C9E0" w14:textId="14BE4651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2C0C25AA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202622">
        <w:rPr>
          <w:rFonts w:ascii="Arial" w:hAnsi="Arial" w:cs="Arial"/>
          <w:b/>
          <w:sz w:val="20"/>
        </w:rPr>
        <w:t xml:space="preserve">Reply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</w:t>
      </w:r>
      <w:r w:rsidR="00423ED3">
        <w:rPr>
          <w:rFonts w:ascii="Arial" w:hAnsi="Arial" w:cs="Arial"/>
          <w:b/>
          <w:sz w:val="20"/>
        </w:rPr>
        <w:t xml:space="preserve">on </w:t>
      </w:r>
      <w:r w:rsidR="00423ED3" w:rsidRPr="00423ED3">
        <w:rPr>
          <w:rFonts w:ascii="Arial" w:hAnsi="Arial" w:cs="Arial"/>
          <w:b/>
          <w:sz w:val="20"/>
        </w:rPr>
        <w:t>LI considerations for TR 33.757</w:t>
      </w:r>
    </w:p>
    <w:p w14:paraId="36215A18" w14:textId="4085CD12" w:rsidR="008D0D1B" w:rsidRPr="00B213DE" w:rsidRDefault="005F4A65" w:rsidP="00202622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F65A52">
        <w:rPr>
          <w:rFonts w:ascii="Arial" w:hAnsi="Arial" w:cs="Arial"/>
          <w:b/>
          <w:sz w:val="20"/>
        </w:rPr>
        <w:t>s3i240</w:t>
      </w:r>
      <w:r w:rsidR="00423ED3">
        <w:rPr>
          <w:rFonts w:ascii="Arial" w:hAnsi="Arial" w:cs="Arial"/>
          <w:b/>
          <w:sz w:val="20"/>
        </w:rPr>
        <w:t>502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56B0DE09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423ED3">
        <w:rPr>
          <w:rFonts w:ascii="Arial" w:hAnsi="Arial" w:cs="Arial"/>
          <w:b/>
          <w:bCs/>
          <w:sz w:val="20"/>
        </w:rPr>
        <w:t>LI19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1F992712" w:rsidR="008D0D1B" w:rsidRPr="007A50B8" w:rsidRDefault="005F4A65">
      <w:pPr>
        <w:spacing w:after="60"/>
        <w:ind w:left="1985" w:hanging="1985"/>
        <w:rPr>
          <w:rFonts w:ascii="Arial" w:hAnsi="Arial" w:cs="Arial"/>
          <w:b/>
          <w:sz w:val="20"/>
          <w:lang w:val="fr-CA"/>
        </w:rPr>
      </w:pPr>
      <w:r w:rsidRPr="007A50B8">
        <w:rPr>
          <w:rFonts w:ascii="Arial" w:hAnsi="Arial" w:cs="Arial"/>
          <w:b/>
          <w:sz w:val="20"/>
          <w:lang w:val="fr-CA"/>
        </w:rPr>
        <w:t>Source:</w:t>
      </w:r>
      <w:r w:rsidRPr="007A50B8">
        <w:rPr>
          <w:rFonts w:ascii="Arial" w:hAnsi="Arial" w:cs="Arial"/>
          <w:b/>
          <w:sz w:val="20"/>
          <w:lang w:val="fr-CA"/>
        </w:rPr>
        <w:tab/>
      </w:r>
      <w:r w:rsidR="00202622">
        <w:rPr>
          <w:rFonts w:ascii="Arial" w:hAnsi="Arial" w:cs="Arial"/>
          <w:b/>
          <w:sz w:val="20"/>
          <w:lang w:val="fr-CA"/>
        </w:rPr>
        <w:t>SA3-LI</w:t>
      </w:r>
    </w:p>
    <w:p w14:paraId="4241F442" w14:textId="55475980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sz w:val="20"/>
          <w:lang w:val="it-IT"/>
        </w:rPr>
        <w:t>SA</w:t>
      </w:r>
      <w:r w:rsidR="00423ED3">
        <w:rPr>
          <w:rFonts w:ascii="Arial" w:hAnsi="Arial" w:cs="Arial"/>
          <w:b/>
          <w:sz w:val="20"/>
          <w:lang w:val="it-IT"/>
        </w:rPr>
        <w:t>3</w:t>
      </w:r>
    </w:p>
    <w:p w14:paraId="7744669C" w14:textId="125438B9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5" w:name="OLE_LINK45"/>
      <w:bookmarkStart w:id="6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bCs/>
          <w:sz w:val="20"/>
          <w:lang w:val="it-IT"/>
        </w:rPr>
        <w:t>SA</w:t>
      </w:r>
      <w:r w:rsidR="00423ED3">
        <w:rPr>
          <w:rFonts w:ascii="Arial" w:hAnsi="Arial" w:cs="Arial"/>
          <w:b/>
          <w:bCs/>
          <w:sz w:val="20"/>
          <w:lang w:val="it-IT"/>
        </w:rPr>
        <w:t>2</w:t>
      </w:r>
    </w:p>
    <w:bookmarkEnd w:id="5"/>
    <w:bookmarkEnd w:id="6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07DE5D1F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F16F33">
        <w:rPr>
          <w:rFonts w:ascii="Arial" w:hAnsi="Arial" w:cs="Arial"/>
          <w:b/>
          <w:bCs/>
          <w:sz w:val="20"/>
        </w:rPr>
        <w:t>Mark Canterbury</w:t>
      </w:r>
    </w:p>
    <w:p w14:paraId="554B3966" w14:textId="2B0F2862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r w:rsidR="00F16F33">
        <w:rPr>
          <w:rFonts w:ascii="Arial" w:hAnsi="Arial" w:cs="Arial"/>
          <w:b/>
          <w:bCs/>
          <w:sz w:val="20"/>
        </w:rPr>
        <w:t>mark</w:t>
      </w:r>
      <w:r w:rsidR="00D75F1D">
        <w:rPr>
          <w:rFonts w:ascii="Arial" w:hAnsi="Arial" w:cs="Arial"/>
          <w:b/>
          <w:bCs/>
          <w:sz w:val="20"/>
        </w:rPr>
        <w:t>c</w:t>
      </w:r>
      <w:r w:rsidR="00F16F33">
        <w:rPr>
          <w:rFonts w:ascii="Arial" w:hAnsi="Arial" w:cs="Arial"/>
          <w:b/>
          <w:bCs/>
          <w:sz w:val="20"/>
        </w:rPr>
        <w:t>@tencastle.com</w:t>
      </w:r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Send any reply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8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AF0508" w:rsidRDefault="005F4A65" w:rsidP="00E03CF6">
      <w:pPr>
        <w:pStyle w:val="Heading1"/>
        <w:numPr>
          <w:ilvl w:val="0"/>
          <w:numId w:val="5"/>
        </w:numPr>
        <w:spacing w:after="0"/>
        <w:ind w:left="993" w:hanging="993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Overall description</w:t>
      </w:r>
    </w:p>
    <w:p w14:paraId="36475747" w14:textId="34E0AF14" w:rsidR="00A35970" w:rsidRPr="00A35970" w:rsidRDefault="00202622" w:rsidP="000779A1">
      <w:pPr>
        <w:tabs>
          <w:tab w:val="left" w:pos="5103"/>
        </w:tabs>
        <w:spacing w:after="120"/>
        <w:rPr>
          <w:rStyle w:val="IvDbodytextChar"/>
          <w:sz w:val="20"/>
        </w:rPr>
      </w:pPr>
      <w:r w:rsidRPr="00A35970">
        <w:rPr>
          <w:rStyle w:val="IvDbodytextChar"/>
          <w:sz w:val="20"/>
        </w:rPr>
        <w:t>SA3-LI kindly thanks SA</w:t>
      </w:r>
      <w:r w:rsidR="00423ED3">
        <w:rPr>
          <w:rStyle w:val="IvDbodytextChar"/>
          <w:sz w:val="20"/>
        </w:rPr>
        <w:t>3</w:t>
      </w:r>
      <w:r w:rsidRPr="00A35970">
        <w:rPr>
          <w:rStyle w:val="IvDbodytextChar"/>
          <w:sz w:val="20"/>
        </w:rPr>
        <w:t xml:space="preserve"> for their LS</w:t>
      </w:r>
      <w:r w:rsidR="00423ED3">
        <w:rPr>
          <w:rStyle w:val="IvDbodytextChar"/>
          <w:sz w:val="20"/>
        </w:rPr>
        <w:t>, and for adding LI considerations to TR 33.757.</w:t>
      </w:r>
    </w:p>
    <w:p w14:paraId="7E8EADC2" w14:textId="6D21A64E" w:rsidR="00423ED3" w:rsidRDefault="00423ED3" w:rsidP="009458BD">
      <w:pPr>
        <w:tabs>
          <w:tab w:val="left" w:pos="5103"/>
        </w:tabs>
        <w:spacing w:after="120"/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Regarding TR 33.757 Key Issue #</w:t>
      </w:r>
      <w:r w:rsidR="00897988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3</w:t>
      </w:r>
      <w:r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 (SUPI privacy), SA3-LI is grateful for SA3’s clarifications</w:t>
      </w:r>
      <w:r w:rsidR="00C840BF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 (i</w:t>
      </w:r>
      <w:r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n particular that fo</w:t>
      </w:r>
      <w:r w:rsidRPr="00423ED3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r the purposes of this study it is assumed that both the hosting PLMN and the hosted NPN belong to the same regulatory domain</w:t>
      </w:r>
      <w:r w:rsidR="00C840BF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) and for undertaking to ensure that either SUPI-based LI is supported or that the feature is optional to deploy. </w:t>
      </w:r>
    </w:p>
    <w:p w14:paraId="5B1C05DF" w14:textId="129D7863" w:rsidR="00897988" w:rsidRDefault="00897988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Regarding TR 33.757 Key Issue #1 (</w:t>
      </w:r>
      <w:r w:rsidRPr="0089798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Security for dedicated UPF interacting with PLMN through N4 interface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), SA3-LI notes following question:</w:t>
      </w:r>
    </w:p>
    <w:p w14:paraId="456BAE44" w14:textId="77777777" w:rsidR="00897988" w:rsidRDefault="00897988" w:rsidP="00897988">
      <w:pPr>
        <w:overflowPunct w:val="0"/>
        <w:autoSpaceDE w:val="0"/>
        <w:autoSpaceDN w:val="0"/>
        <w:adjustRightInd w:val="0"/>
        <w:spacing w:after="180" w:line="240" w:lineRule="auto"/>
        <w:ind w:left="720"/>
        <w:textAlignment w:val="baseline"/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</w:pPr>
      <w:r w:rsidRPr="00A35970">
        <w:rPr>
          <w:rFonts w:ascii="Arial" w:eastAsia="DengXian" w:hAnsi="Arial" w:cs="Arial"/>
          <w:b/>
          <w:kern w:val="0"/>
          <w:sz w:val="20"/>
          <w:szCs w:val="20"/>
          <w:lang w:eastAsia="en-GB"/>
          <w14:ligatures w14:val="none"/>
        </w:rPr>
        <w:t>Question 1:</w:t>
      </w:r>
      <w:r w:rsidRPr="00A35970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423ED3">
        <w:rPr>
          <w:rFonts w:ascii="Arial" w:eastAsia="DengXian" w:hAnsi="Arial" w:cs="Arial"/>
          <w:kern w:val="0"/>
          <w:sz w:val="20"/>
          <w:szCs w:val="20"/>
          <w:lang w:eastAsia="en-GB"/>
          <w14:ligatures w14:val="none"/>
        </w:rPr>
        <w:t>SA3 would like to ask SA3-LI to clarify what the detailed issues and specific impacts the proxy related mechanisms may bring for the LI_T2/LI_T3 interfaces.</w:t>
      </w:r>
    </w:p>
    <w:p w14:paraId="0AED4D39" w14:textId="5E91F0AF" w:rsidR="00897988" w:rsidRDefault="00897988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SA3-LI is pleased to attempt to provide the necessary clarifications below.</w:t>
      </w:r>
    </w:p>
    <w:p w14:paraId="52A2158C" w14:textId="77777777" w:rsidR="00CF5D7D" w:rsidRDefault="00897988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LI_T2 and LI_T3 are known as “triggering” interfaces. In this context, they are found between the LI function in the SMF (the “IRI-TF”) and the LI function in the UPF (the “CC-POI”). The triggering interfaces serve a similar purpose to N4 and operate in parallel to it, in that they enable the IRI-TF in the SMF to manage interception within the CC-POI in the UPF. A more complete view of the architecture can be found in TS 33.127 clause 6.2.3, while a description of the protocols involved can be found in TS 33.128 clause 6.2.3. </w:t>
      </w:r>
    </w:p>
    <w:p w14:paraId="47765661" w14:textId="5EFE08BD" w:rsidR="00897988" w:rsidRDefault="00CF5D7D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For convenience, the relevant architectural view from TS 33.127 is reproduced below.</w:t>
      </w:r>
    </w:p>
    <w:p w14:paraId="566B7BE2" w14:textId="333A1D20" w:rsidR="00CF5D7D" w:rsidRDefault="00CF5D7D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 w:rsidRPr="00CF5D7D">
        <w:rPr>
          <w:rStyle w:val="IvDbodytextChar"/>
          <w:rFonts w:eastAsia="DengXian"/>
          <w:noProof/>
          <w:spacing w:val="0"/>
          <w:kern w:val="0"/>
          <w:sz w:val="20"/>
          <w:szCs w:val="20"/>
          <w:lang w:eastAsia="en-GB"/>
          <w14:ligatures w14:val="none"/>
        </w:rPr>
        <w:lastRenderedPageBreak/>
        <w:drawing>
          <wp:inline distT="0" distB="0" distL="0" distR="0" wp14:anchorId="577C228D" wp14:editId="50465177">
            <wp:extent cx="5770669" cy="5753734"/>
            <wp:effectExtent l="0" t="0" r="1905" b="0"/>
            <wp:docPr id="597977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770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0669" cy="575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0803" w14:textId="0C5FF0A7" w:rsidR="00CF5D7D" w:rsidRDefault="00CF5D7D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Concretely, t</w:t>
      </w:r>
      <w:r w:rsidR="00897988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his approach means that the IRI-TF in the SMF needs to be able to send and receive HTTPS messages to the CC-POI in the UPF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, secured by mutual TLS authentication. SA3-LI’s understanding is that TR 33.757 is considering placing proxies or gateways between the SMF and UPF in order to perform topology hiding in one or both directions. SA3-LI is concerned that this may impact on the IRI-TF’s ability to discover, establish trust with and exchange messages with the CC-POI.</w:t>
      </w:r>
    </w:p>
    <w:p w14:paraId="68B27B32" w14:textId="2FD01FA7" w:rsidR="00897988" w:rsidRDefault="00CF5D7D" w:rsidP="00C840BF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However, SA3-LI observes that presumably a similar set of challenges exist on N4 itself</w:t>
      </w:r>
      <w:r w:rsidR="00BC5D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.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</w:t>
      </w:r>
      <w:r w:rsidR="00BC5D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It also 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observes that the proposed solutions to Key Issue #1 in TR 33.757 all appear to involve the introduction of one or more dedicated gateway functions. Assuming that the behaviour and interfaces of these functions are defined in </w:t>
      </w:r>
      <w:r w:rsidR="00BC5D7A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3GPP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(as opposed to being left to implementation), then SA3-LI’s view is that it is likely that it will be possible to place an LI function within this gateway which has parallel responsibilities for proxying LI_T2/LI_T3.</w:t>
      </w: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 xml:space="preserve"> </w:t>
      </w:r>
      <w:r w:rsidR="00C840BF"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The definition of this function would then be for SA3-LI to define.</w:t>
      </w:r>
    </w:p>
    <w:p w14:paraId="50DC66BF" w14:textId="5D697BD7" w:rsidR="00897988" w:rsidRPr="00BF1FDD" w:rsidRDefault="00C840BF" w:rsidP="009458BD">
      <w:pPr>
        <w:tabs>
          <w:tab w:val="left" w:pos="5103"/>
        </w:tabs>
        <w:spacing w:after="120"/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</w:pPr>
      <w:r>
        <w:rPr>
          <w:rStyle w:val="IvDbodytextChar"/>
          <w:rFonts w:eastAsia="DengXian"/>
          <w:spacing w:val="0"/>
          <w:kern w:val="0"/>
          <w:sz w:val="20"/>
          <w:szCs w:val="20"/>
          <w:lang w:eastAsia="en-GB"/>
          <w14:ligatures w14:val="none"/>
        </w:rPr>
        <w:t>SA3-LI kindly asks SA3 to confirm if SA3-LI’s understand of the above is correct, and if any further clarifications are required to allow SA3 to continue their work.</w:t>
      </w:r>
    </w:p>
    <w:p w14:paraId="2B78BA17" w14:textId="77777777" w:rsidR="008D0D1B" w:rsidRPr="00AF0508" w:rsidRDefault="005F4A65" w:rsidP="00E03CF6">
      <w:pPr>
        <w:pStyle w:val="Heading1"/>
        <w:numPr>
          <w:ilvl w:val="0"/>
          <w:numId w:val="5"/>
        </w:numPr>
        <w:spacing w:after="0"/>
        <w:ind w:left="993" w:hanging="993"/>
        <w:rPr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Actions</w:t>
      </w:r>
    </w:p>
    <w:p w14:paraId="5187DD98" w14:textId="5348A9FF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8F3034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7908BAE2" w:rsidR="008D0D1B" w:rsidRPr="00CE656E" w:rsidRDefault="005F4A65">
      <w:pPr>
        <w:spacing w:after="120"/>
        <w:ind w:left="993" w:hanging="993"/>
        <w:rPr>
          <w:rStyle w:val="IvDbodytextChar"/>
          <w:rFonts w:ascii="Times New Roman" w:hAnsi="Times New Roman" w:cs="Times New Roman"/>
          <w:sz w:val="20"/>
        </w:rPr>
      </w:pPr>
      <w:r w:rsidRPr="00B213DE">
        <w:rPr>
          <w:rFonts w:ascii="Arial" w:hAnsi="Arial" w:cs="Arial"/>
          <w:b/>
          <w:sz w:val="20"/>
        </w:rPr>
        <w:lastRenderedPageBreak/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661F5A" w:rsidRPr="005D1DE2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SA3-LI kindly asks SA</w:t>
      </w:r>
      <w:r w:rsidR="00C840BF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3</w:t>
      </w:r>
      <w:r w:rsidR="00661F5A" w:rsidRPr="005D1DE2">
        <w:rPr>
          <w:rFonts w:ascii="Arial" w:eastAsia="DengXian" w:hAnsi="Arial" w:cs="Arial"/>
          <w:kern w:val="0"/>
          <w:szCs w:val="20"/>
          <w:lang w:eastAsia="en-GB"/>
          <w14:ligatures w14:val="none"/>
        </w:rPr>
        <w:t xml:space="preserve"> to </w:t>
      </w:r>
      <w:r w:rsidR="00562E3E">
        <w:rPr>
          <w:rFonts w:ascii="Arial" w:eastAsia="DengXian" w:hAnsi="Arial" w:cs="Arial"/>
          <w:kern w:val="0"/>
          <w:szCs w:val="20"/>
          <w:lang w:eastAsia="en-GB"/>
          <w14:ligatures w14:val="none"/>
        </w:rPr>
        <w:t xml:space="preserve">clarify if SA3-LI’s understanding of the likely solutions to Key Issue #1 is correct, </w:t>
      </w:r>
      <w:r w:rsidR="00C840BF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and to inform SA3-LI if any further clarifications are required to enable SA3’s work to progress</w:t>
      </w:r>
      <w:r w:rsidR="00555B4D" w:rsidRPr="005D1DE2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.</w:t>
      </w:r>
    </w:p>
    <w:p w14:paraId="1BB74351" w14:textId="62827B1B" w:rsidR="00555B4D" w:rsidRPr="00B213DE" w:rsidRDefault="00555B4D" w:rsidP="00661F5A">
      <w:pPr>
        <w:spacing w:after="120"/>
        <w:rPr>
          <w:rStyle w:val="IvDbodytextChar"/>
          <w:rFonts w:eastAsia="Calibri" w:cs="Calibri"/>
          <w:sz w:val="20"/>
        </w:rPr>
      </w:pPr>
    </w:p>
    <w:p w14:paraId="36E98384" w14:textId="77777777" w:rsidR="00CE656E" w:rsidRPr="00AF0508" w:rsidRDefault="00CE656E" w:rsidP="00A35281">
      <w:pPr>
        <w:pStyle w:val="Heading1"/>
        <w:spacing w:after="0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3</w:t>
      </w:r>
      <w:r w:rsidRPr="00AF0508">
        <w:rPr>
          <w:rFonts w:ascii="Arial" w:hAnsi="Arial" w:cs="Arial"/>
          <w:b w:val="0"/>
          <w:sz w:val="36"/>
          <w:szCs w:val="36"/>
        </w:rPr>
        <w:tab/>
        <w:t>Dates of next SA3-LI meetings</w:t>
      </w:r>
    </w:p>
    <w:p w14:paraId="376732F3" w14:textId="41CF1144" w:rsidR="00CE656E" w:rsidRPr="00C65287" w:rsidRDefault="00CE656E" w:rsidP="00CE656E">
      <w:pPr>
        <w:rPr>
          <w:rFonts w:ascii="Arial" w:eastAsia="DengXian" w:hAnsi="Arial" w:cs="Arial"/>
          <w:kern w:val="0"/>
          <w:szCs w:val="20"/>
          <w:lang w:eastAsia="en-GB"/>
          <w14:ligatures w14:val="none"/>
        </w:rPr>
      </w:pP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SA3#95-LI</w:t>
      </w:r>
      <w:r w:rsidR="006211D0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29 October – 1 November 2024</w:t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  <w:t>Las Vegas, NV (US)</w:t>
      </w:r>
    </w:p>
    <w:p w14:paraId="0D1A5F82" w14:textId="6B75CD22" w:rsidR="00CE656E" w:rsidRPr="00C65287" w:rsidRDefault="00CE656E" w:rsidP="00CE656E">
      <w:pPr>
        <w:rPr>
          <w:rFonts w:ascii="Arial" w:eastAsia="DengXian" w:hAnsi="Arial" w:cs="Arial"/>
          <w:kern w:val="0"/>
          <w:szCs w:val="20"/>
          <w:lang w:eastAsia="en-GB"/>
          <w14:ligatures w14:val="none"/>
        </w:rPr>
      </w:pP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SA3#96-LI</w:t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  <w:t>28 – 31 January 2025</w:t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="005F049D">
        <w:rPr>
          <w:rFonts w:ascii="Arial" w:eastAsia="DengXian" w:hAnsi="Arial" w:cs="Arial"/>
          <w:kern w:val="0"/>
          <w:szCs w:val="20"/>
          <w:lang w:eastAsia="en-GB"/>
          <w14:ligatures w14:val="none"/>
        </w:rPr>
        <w:tab/>
      </w:r>
      <w:r w:rsidRPr="00C65287">
        <w:rPr>
          <w:rFonts w:ascii="Arial" w:eastAsia="DengXian" w:hAnsi="Arial" w:cs="Arial"/>
          <w:kern w:val="0"/>
          <w:szCs w:val="20"/>
          <w:lang w:eastAsia="en-GB"/>
          <w14:ligatures w14:val="none"/>
        </w:rPr>
        <w:t>Sophia Antipolis, France</w:t>
      </w:r>
    </w:p>
    <w:p w14:paraId="34E01891" w14:textId="22C9E882" w:rsidR="00CA5B4B" w:rsidRPr="00FF26F5" w:rsidRDefault="00CA5B4B" w:rsidP="00CE656E">
      <w:pPr>
        <w:pStyle w:val="Heading1"/>
        <w:rPr>
          <w:rFonts w:ascii="Arial" w:hAnsi="Arial" w:cs="Arial"/>
          <w:bCs w:val="0"/>
          <w:sz w:val="20"/>
        </w:rPr>
      </w:pP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AF63" w14:textId="77777777" w:rsidR="009420E4" w:rsidRDefault="009420E4">
      <w:r>
        <w:separator/>
      </w:r>
    </w:p>
  </w:endnote>
  <w:endnote w:type="continuationSeparator" w:id="0">
    <w:p w14:paraId="773FAED5" w14:textId="77777777" w:rsidR="009420E4" w:rsidRDefault="009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E2CA" w14:textId="77777777" w:rsidR="009420E4" w:rsidRDefault="009420E4">
      <w:r>
        <w:separator/>
      </w:r>
    </w:p>
  </w:footnote>
  <w:footnote w:type="continuationSeparator" w:id="0">
    <w:p w14:paraId="30DA05E3" w14:textId="77777777" w:rsidR="009420E4" w:rsidRDefault="0094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BFA743F"/>
    <w:multiLevelType w:val="hybridMultilevel"/>
    <w:tmpl w:val="2814D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56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7473">
    <w:abstractNumId w:val="13"/>
  </w:num>
  <w:num w:numId="2" w16cid:durableId="586692984">
    <w:abstractNumId w:val="8"/>
  </w:num>
  <w:num w:numId="3" w16cid:durableId="1279141159">
    <w:abstractNumId w:val="10"/>
  </w:num>
  <w:num w:numId="4" w16cid:durableId="1018239953">
    <w:abstractNumId w:val="4"/>
  </w:num>
  <w:num w:numId="5" w16cid:durableId="688526651">
    <w:abstractNumId w:val="1"/>
  </w:num>
  <w:num w:numId="6" w16cid:durableId="1870364647">
    <w:abstractNumId w:val="6"/>
  </w:num>
  <w:num w:numId="7" w16cid:durableId="167984704">
    <w:abstractNumId w:val="3"/>
  </w:num>
  <w:num w:numId="8" w16cid:durableId="1280337499">
    <w:abstractNumId w:val="2"/>
  </w:num>
  <w:num w:numId="9" w16cid:durableId="155341845">
    <w:abstractNumId w:val="5"/>
  </w:num>
  <w:num w:numId="10" w16cid:durableId="364453432">
    <w:abstractNumId w:val="14"/>
  </w:num>
  <w:num w:numId="11" w16cid:durableId="435557727">
    <w:abstractNumId w:val="0"/>
  </w:num>
  <w:num w:numId="12" w16cid:durableId="1519810426">
    <w:abstractNumId w:val="11"/>
  </w:num>
  <w:num w:numId="13" w16cid:durableId="1026835962">
    <w:abstractNumId w:val="15"/>
  </w:num>
  <w:num w:numId="14" w16cid:durableId="354036823">
    <w:abstractNumId w:val="16"/>
  </w:num>
  <w:num w:numId="15" w16cid:durableId="1528521345">
    <w:abstractNumId w:val="7"/>
  </w:num>
  <w:num w:numId="16" w16cid:durableId="1604148834">
    <w:abstractNumId w:val="12"/>
  </w:num>
  <w:num w:numId="17" w16cid:durableId="2003848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FF7D2FBB"/>
    <w:rsid w:val="0000015E"/>
    <w:rsid w:val="00001C25"/>
    <w:rsid w:val="00001D67"/>
    <w:rsid w:val="000046E6"/>
    <w:rsid w:val="000055EA"/>
    <w:rsid w:val="00006D26"/>
    <w:rsid w:val="000071DA"/>
    <w:rsid w:val="00007E61"/>
    <w:rsid w:val="000150DC"/>
    <w:rsid w:val="000175A1"/>
    <w:rsid w:val="000206A1"/>
    <w:rsid w:val="00033F6F"/>
    <w:rsid w:val="000359F2"/>
    <w:rsid w:val="000420FE"/>
    <w:rsid w:val="000438AE"/>
    <w:rsid w:val="0005108C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3286"/>
    <w:rsid w:val="000A5B17"/>
    <w:rsid w:val="000A5F20"/>
    <w:rsid w:val="000B2785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17B1A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1177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E4F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2622"/>
    <w:rsid w:val="00205327"/>
    <w:rsid w:val="00211BB7"/>
    <w:rsid w:val="00215373"/>
    <w:rsid w:val="00217B8D"/>
    <w:rsid w:val="00221CD8"/>
    <w:rsid w:val="0023049C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211A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1ED5"/>
    <w:rsid w:val="002E4CD6"/>
    <w:rsid w:val="002E5AB0"/>
    <w:rsid w:val="002E6F9E"/>
    <w:rsid w:val="002E7A65"/>
    <w:rsid w:val="002E7C7E"/>
    <w:rsid w:val="002F3AD8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411C"/>
    <w:rsid w:val="00356657"/>
    <w:rsid w:val="003574B8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97D8A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2D3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23ED3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1AC3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4104"/>
    <w:rsid w:val="0050711A"/>
    <w:rsid w:val="00510E72"/>
    <w:rsid w:val="005126E6"/>
    <w:rsid w:val="00516416"/>
    <w:rsid w:val="00522CF5"/>
    <w:rsid w:val="00523B81"/>
    <w:rsid w:val="005245AA"/>
    <w:rsid w:val="00524A87"/>
    <w:rsid w:val="00530731"/>
    <w:rsid w:val="005313F3"/>
    <w:rsid w:val="0054168E"/>
    <w:rsid w:val="00550997"/>
    <w:rsid w:val="00555B4D"/>
    <w:rsid w:val="0055688F"/>
    <w:rsid w:val="00557363"/>
    <w:rsid w:val="00562E3E"/>
    <w:rsid w:val="00567D77"/>
    <w:rsid w:val="00573B56"/>
    <w:rsid w:val="005854F7"/>
    <w:rsid w:val="0059054D"/>
    <w:rsid w:val="005A63D3"/>
    <w:rsid w:val="005A7BFB"/>
    <w:rsid w:val="005B2039"/>
    <w:rsid w:val="005D1DE2"/>
    <w:rsid w:val="005D1F59"/>
    <w:rsid w:val="005D6D10"/>
    <w:rsid w:val="005E35BE"/>
    <w:rsid w:val="005E6E70"/>
    <w:rsid w:val="005F049D"/>
    <w:rsid w:val="005F0F61"/>
    <w:rsid w:val="005F3B87"/>
    <w:rsid w:val="005F4A65"/>
    <w:rsid w:val="005F540E"/>
    <w:rsid w:val="0060054B"/>
    <w:rsid w:val="006009E4"/>
    <w:rsid w:val="006031D8"/>
    <w:rsid w:val="006151C6"/>
    <w:rsid w:val="00617801"/>
    <w:rsid w:val="006178F6"/>
    <w:rsid w:val="006211D0"/>
    <w:rsid w:val="00621699"/>
    <w:rsid w:val="00622A6B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1F5A"/>
    <w:rsid w:val="0066429E"/>
    <w:rsid w:val="0066539E"/>
    <w:rsid w:val="0067239A"/>
    <w:rsid w:val="00672EEC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B0123"/>
    <w:rsid w:val="006B6308"/>
    <w:rsid w:val="006C02EA"/>
    <w:rsid w:val="006D0F9A"/>
    <w:rsid w:val="006D4800"/>
    <w:rsid w:val="006E48BD"/>
    <w:rsid w:val="006E495D"/>
    <w:rsid w:val="006E645E"/>
    <w:rsid w:val="006E70F8"/>
    <w:rsid w:val="006E7386"/>
    <w:rsid w:val="006F14A0"/>
    <w:rsid w:val="006F1D6F"/>
    <w:rsid w:val="006F25A9"/>
    <w:rsid w:val="006F5106"/>
    <w:rsid w:val="00700583"/>
    <w:rsid w:val="007035C3"/>
    <w:rsid w:val="00706339"/>
    <w:rsid w:val="0070682F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97CBE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48E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97988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3034"/>
    <w:rsid w:val="008F46EE"/>
    <w:rsid w:val="00900E96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20E4"/>
    <w:rsid w:val="0094378B"/>
    <w:rsid w:val="009458BD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B3B3D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5281"/>
    <w:rsid w:val="00A35970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0508"/>
    <w:rsid w:val="00AF1596"/>
    <w:rsid w:val="00AF1E68"/>
    <w:rsid w:val="00AF6823"/>
    <w:rsid w:val="00AF75AC"/>
    <w:rsid w:val="00B02856"/>
    <w:rsid w:val="00B03E5E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343F3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A43B1"/>
    <w:rsid w:val="00BB01C1"/>
    <w:rsid w:val="00BB11CA"/>
    <w:rsid w:val="00BC07C7"/>
    <w:rsid w:val="00BC278B"/>
    <w:rsid w:val="00BC5D7A"/>
    <w:rsid w:val="00BC6EC1"/>
    <w:rsid w:val="00BD3C19"/>
    <w:rsid w:val="00BD435E"/>
    <w:rsid w:val="00BD5C30"/>
    <w:rsid w:val="00BE23B1"/>
    <w:rsid w:val="00BE2CBA"/>
    <w:rsid w:val="00BE6064"/>
    <w:rsid w:val="00BF1FDD"/>
    <w:rsid w:val="00BF2187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5287"/>
    <w:rsid w:val="00C65863"/>
    <w:rsid w:val="00C66586"/>
    <w:rsid w:val="00C66B23"/>
    <w:rsid w:val="00C74CAA"/>
    <w:rsid w:val="00C80BD5"/>
    <w:rsid w:val="00C81F6C"/>
    <w:rsid w:val="00C832BB"/>
    <w:rsid w:val="00C840BF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5518"/>
    <w:rsid w:val="00CB7B78"/>
    <w:rsid w:val="00CC025D"/>
    <w:rsid w:val="00CC0A6D"/>
    <w:rsid w:val="00CC7D2A"/>
    <w:rsid w:val="00CD2997"/>
    <w:rsid w:val="00CD5CA3"/>
    <w:rsid w:val="00CE656E"/>
    <w:rsid w:val="00CF37D5"/>
    <w:rsid w:val="00CF486D"/>
    <w:rsid w:val="00CF5D7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5F1D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5E5B"/>
    <w:rsid w:val="00DC6D81"/>
    <w:rsid w:val="00DC7B5E"/>
    <w:rsid w:val="00DD5B6C"/>
    <w:rsid w:val="00DD663D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3CF6"/>
    <w:rsid w:val="00E042DC"/>
    <w:rsid w:val="00E12EE6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074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16F33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2EE2"/>
    <w:rsid w:val="00F6478A"/>
    <w:rsid w:val="00F652BD"/>
    <w:rsid w:val="00F65A52"/>
    <w:rsid w:val="00F66AD9"/>
    <w:rsid w:val="00F73CBD"/>
    <w:rsid w:val="00F74B6F"/>
    <w:rsid w:val="00F751F1"/>
    <w:rsid w:val="00F77630"/>
    <w:rsid w:val="00F8197B"/>
    <w:rsid w:val="00F83EC5"/>
    <w:rsid w:val="00F844E2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F1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75F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5F1D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CRCoverPageZchn">
    <w:name w:val="CR Cover Page Zchn"/>
    <w:link w:val="CRCoverPage"/>
    <w:qFormat/>
    <w:locked/>
    <w:rsid w:val="00F844E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41564E-A0B6-4803-813B-2981FEA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Mark Canterbury</cp:lastModifiedBy>
  <cp:revision>20</cp:revision>
  <cp:lastPrinted>2002-04-23T15:10:00Z</cp:lastPrinted>
  <dcterms:created xsi:type="dcterms:W3CDTF">2024-07-09T11:50:00Z</dcterms:created>
  <dcterms:modified xsi:type="dcterms:W3CDTF">2024-07-11T12:07:00Z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