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85B" w:rsidRDefault="006A28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bookmarkStart w:id="0" w:name="_gjdgxs" w:colFirst="0" w:colLast="0"/>
      <w:bookmarkEnd w:id="0"/>
    </w:p>
    <w:p w:rsidR="006A285B" w:rsidRDefault="00885F58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TSG-SA3 Meeting #</w:t>
      </w:r>
      <w:r>
        <w:rPr>
          <w:rFonts w:ascii="Arial" w:eastAsia="Arial" w:hAnsi="Arial" w:cs="Arial"/>
          <w:b/>
          <w:sz w:val="24"/>
          <w:szCs w:val="24"/>
        </w:rPr>
        <w:t>119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Pr="005A183B">
        <w:rPr>
          <w:rFonts w:ascii="Arial" w:eastAsia="Arial" w:hAnsi="Arial" w:cs="Arial"/>
          <w:sz w:val="24"/>
          <w:szCs w:val="24"/>
        </w:rPr>
        <w:t xml:space="preserve">     </w:t>
      </w:r>
      <w:bookmarkStart w:id="1" w:name="_GoBack"/>
      <w:r>
        <w:rPr>
          <w:rFonts w:ascii="Arial" w:eastAsia="Arial" w:hAnsi="Arial" w:cs="Arial"/>
          <w:b/>
          <w:sz w:val="24"/>
          <w:szCs w:val="24"/>
        </w:rPr>
        <w:t>S3-24</w:t>
      </w:r>
      <w:r w:rsidR="0070796B">
        <w:rPr>
          <w:rFonts w:ascii="Arial" w:eastAsia="Arial" w:hAnsi="Arial" w:cs="Arial"/>
          <w:b/>
          <w:sz w:val="24"/>
          <w:szCs w:val="24"/>
        </w:rPr>
        <w:t>5368</w:t>
      </w:r>
      <w:bookmarkEnd w:id="1"/>
    </w:p>
    <w:p w:rsidR="006A285B" w:rsidRDefault="00885F58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Orlando, Florida, 11 – 15 Nov 2024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</w:t>
      </w:r>
    </w:p>
    <w:p w:rsidR="006A285B" w:rsidRDefault="006A285B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</w:p>
    <w:p w:rsidR="006A285B" w:rsidRDefault="00885F58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 xml:space="preserve">Google </w:t>
      </w:r>
    </w:p>
    <w:p w:rsidR="006A285B" w:rsidRDefault="00885F58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Conclusion for KI#5 (</w:t>
      </w:r>
      <w:r w:rsidR="005A183B">
        <w:rPr>
          <w:rFonts w:ascii="Arial" w:eastAsia="Arial" w:hAnsi="Arial" w:cs="Arial"/>
          <w:b/>
        </w:rPr>
        <w:t>Certificate Renewal</w:t>
      </w:r>
      <w:r>
        <w:rPr>
          <w:rFonts w:ascii="Arial" w:eastAsia="Arial" w:hAnsi="Arial" w:cs="Arial"/>
          <w:b/>
        </w:rPr>
        <w:t>)</w:t>
      </w:r>
    </w:p>
    <w:p w:rsidR="006A285B" w:rsidRDefault="00885F58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:rsidR="006A285B" w:rsidRDefault="00885F58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5.4</w:t>
      </w:r>
    </w:p>
    <w:p w:rsidR="006A285B" w:rsidRDefault="00885F58">
      <w:pPr>
        <w:pStyle w:val="Heading1"/>
      </w:pPr>
      <w:r>
        <w:t>1</w:t>
      </w:r>
      <w:r>
        <w:tab/>
        <w:t>Decision/action requested</w:t>
      </w:r>
    </w:p>
    <w:p w:rsidR="006A285B" w:rsidRDefault="00885F58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33.776</w:t>
      </w:r>
    </w:p>
    <w:p w:rsidR="006A285B" w:rsidRDefault="00885F58">
      <w:pPr>
        <w:pStyle w:val="Heading1"/>
      </w:pPr>
      <w:r>
        <w:t>2</w:t>
      </w:r>
      <w:r>
        <w:tab/>
        <w:t>References</w:t>
      </w:r>
    </w:p>
    <w:p w:rsidR="006A285B" w:rsidRDefault="00885F5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rPr>
          <w:color w:val="000000"/>
        </w:rPr>
        <w:t>[1]</w:t>
      </w:r>
      <w:r>
        <w:rPr>
          <w:color w:val="000000"/>
        </w:rPr>
        <w:tab/>
      </w:r>
      <w:r>
        <w:t>3GPP TR 33.776: “Study of ACME for Automated Certificate Management in SBA”</w:t>
      </w:r>
    </w:p>
    <w:p w:rsidR="006A285B" w:rsidRDefault="00885F5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t>[2]</w:t>
      </w:r>
      <w:r>
        <w:tab/>
        <w:t>IETF RFC 8555: “Automatic Certificate Management Environment (ACME)”, 2019</w:t>
      </w:r>
    </w:p>
    <w:p w:rsidR="006A285B" w:rsidRDefault="00885F58">
      <w:pPr>
        <w:tabs>
          <w:tab w:val="left" w:pos="851"/>
        </w:tabs>
      </w:pPr>
      <w:r>
        <w:t>[3]</w:t>
      </w:r>
      <w:r>
        <w:tab/>
        <w:t>3GPP TS 33.310: “Network Domain Security (NDS); Aut</w:t>
      </w:r>
      <w:r>
        <w:t>hentication Framework (AF)”</w:t>
      </w:r>
    </w:p>
    <w:p w:rsidR="006A285B" w:rsidRDefault="006A28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</w:p>
    <w:p w:rsidR="006A285B" w:rsidRDefault="00885F58">
      <w:pPr>
        <w:pStyle w:val="Heading1"/>
      </w:pPr>
      <w:r>
        <w:t>3</w:t>
      </w:r>
      <w:r>
        <w:tab/>
        <w:t>Rationale</w:t>
      </w:r>
    </w:p>
    <w:p w:rsidR="006A285B" w:rsidRDefault="00885F58">
      <w:bookmarkStart w:id="2" w:name="_30j0zll" w:colFirst="0" w:colLast="0"/>
      <w:bookmarkEnd w:id="2"/>
      <w:r>
        <w:t>This contribution proposes a conclusion to KI#5 in TR 33.776.</w:t>
      </w:r>
    </w:p>
    <w:p w:rsidR="006A285B" w:rsidRDefault="00885F58">
      <w:pPr>
        <w:pStyle w:val="Heading1"/>
        <w:jc w:val="center"/>
        <w:rPr>
          <w:sz w:val="24"/>
          <w:szCs w:val="24"/>
        </w:rPr>
      </w:pPr>
      <w:bookmarkStart w:id="3" w:name="_1fob9te" w:colFirst="0" w:colLast="0"/>
      <w:bookmarkEnd w:id="3"/>
      <w:r>
        <w:rPr>
          <w:rFonts w:ascii="Times New Roman" w:eastAsia="Times New Roman" w:hAnsi="Times New Roman" w:cs="Times New Roman"/>
          <w:color w:val="4472C4"/>
          <w:sz w:val="24"/>
          <w:szCs w:val="24"/>
        </w:rPr>
        <w:t xml:space="preserve">******************   START OF CHANGES </w:t>
      </w:r>
      <w:r>
        <w:rPr>
          <w:rFonts w:ascii="Times New Roman" w:eastAsia="Times New Roman" w:hAnsi="Times New Roman" w:cs="Times New Roman"/>
          <w:color w:val="4472C4"/>
          <w:sz w:val="24"/>
          <w:szCs w:val="24"/>
        </w:rPr>
        <w:t>- ALL NEW TEXT</w:t>
      </w:r>
      <w:r>
        <w:rPr>
          <w:rFonts w:ascii="Times New Roman" w:eastAsia="Times New Roman" w:hAnsi="Times New Roman" w:cs="Times New Roman"/>
          <w:color w:val="4472C4"/>
          <w:sz w:val="24"/>
          <w:szCs w:val="24"/>
        </w:rPr>
        <w:t xml:space="preserve"> **********************</w:t>
      </w:r>
      <w:r>
        <w:tab/>
      </w:r>
    </w:p>
    <w:p w:rsidR="006A285B" w:rsidRDefault="00885F58">
      <w:pPr>
        <w:pStyle w:val="Heading2"/>
      </w:pPr>
      <w:bookmarkStart w:id="4" w:name="_3znysh7" w:colFirst="0" w:colLast="0"/>
      <w:bookmarkEnd w:id="4"/>
      <w:r>
        <w:t>7.</w:t>
      </w:r>
      <w:r w:rsidRPr="005A183B">
        <w:rPr>
          <w:highlight w:val="yellow"/>
        </w:rPr>
        <w:t>x</w:t>
      </w:r>
      <w:r>
        <w:t xml:space="preserve">. </w:t>
      </w:r>
      <w:r>
        <w:tab/>
        <w:t>KI#5: Certificate renewal</w:t>
      </w:r>
    </w:p>
    <w:p w:rsidR="006A285B" w:rsidRDefault="00885F58">
      <w:pPr>
        <w:pStyle w:val="Heading3"/>
      </w:pPr>
      <w:bookmarkStart w:id="5" w:name="_2et92p0" w:colFirst="0" w:colLast="0"/>
      <w:bookmarkEnd w:id="5"/>
      <w:r>
        <w:t>7.</w:t>
      </w:r>
      <w:r w:rsidRPr="005A183B">
        <w:rPr>
          <w:highlight w:val="yellow"/>
        </w:rPr>
        <w:t>x</w:t>
      </w:r>
      <w:r>
        <w:t>.1</w:t>
      </w:r>
      <w:r>
        <w:tab/>
        <w:t>Analysis</w:t>
      </w:r>
    </w:p>
    <w:p w:rsidR="006A285B" w:rsidRDefault="00885F58">
      <w:r>
        <w:t>This key issue is addressed by two solutions, namely Solution #4 (Reuse solution about policy-based certificate renewal)</w:t>
      </w:r>
      <w:r>
        <w:t>, which proposes to reuse the solution adopted in the study of FS_ACM during Release 18,</w:t>
      </w:r>
      <w:r>
        <w:t xml:space="preserve"> and Solution #9 (Using ACME protocol for certif</w:t>
      </w:r>
      <w:r>
        <w:t>icate renewal)</w:t>
      </w:r>
      <w:r>
        <w:t xml:space="preserve">. Solution #4 depends on the preconfigured policy. Similarly, in solution #9 the NF initiates certificate renewal procedures based on </w:t>
      </w:r>
      <w:r>
        <w:t xml:space="preserve">the trigger from </w:t>
      </w:r>
      <w:r>
        <w:t>pre-</w:t>
      </w:r>
      <w:r>
        <w:t xml:space="preserve">configured certificate renewal policies. </w:t>
      </w:r>
      <w:r>
        <w:t>While both solutions intend to adopt policy-based certificate renewal principles, solution #9 also includes the procedure by which certificate renewal is carried out. Solution #9 involves two different methods of AC</w:t>
      </w:r>
      <w:r>
        <w:t xml:space="preserve">ME client authorization for certificate renewal: the ‘challenge-response’ process and the ‘pre-authorization’ process, wherein pre-authorization process </w:t>
      </w:r>
      <w:r w:rsidR="005A183B">
        <w:t>is optional</w:t>
      </w:r>
      <w:r>
        <w:t xml:space="preserve">. </w:t>
      </w:r>
      <w:r>
        <w:t xml:space="preserve">  </w:t>
      </w:r>
    </w:p>
    <w:p w:rsidR="006A285B" w:rsidRDefault="00885F58">
      <w:pPr>
        <w:pStyle w:val="Heading3"/>
      </w:pPr>
      <w:bookmarkStart w:id="6" w:name="_tyjcwt" w:colFirst="0" w:colLast="0"/>
      <w:bookmarkEnd w:id="6"/>
      <w:r>
        <w:t>7.</w:t>
      </w:r>
      <w:r w:rsidRPr="005A183B">
        <w:rPr>
          <w:highlight w:val="yellow"/>
        </w:rPr>
        <w:t>x</w:t>
      </w:r>
      <w:r>
        <w:t>.</w:t>
      </w:r>
      <w:r>
        <w:t>2</w:t>
      </w:r>
      <w:r>
        <w:t xml:space="preserve"> Concl</w:t>
      </w:r>
      <w:r>
        <w:t>usion</w:t>
      </w:r>
    </w:p>
    <w:p w:rsidR="006A285B" w:rsidRDefault="00885F58">
      <w:pPr>
        <w:keepLines/>
        <w:spacing w:after="200"/>
      </w:pPr>
      <w:r w:rsidRPr="005A183B">
        <w:t xml:space="preserve">It is recommended to include certificate renewal procedure </w:t>
      </w:r>
      <w:r w:rsidRPr="005A183B">
        <w:t>based on Solution #4 and the ‘challenge-response’ process in Solution #9 (excluding “pre-authorization” process).</w:t>
      </w:r>
      <w:r>
        <w:t xml:space="preserve"> </w:t>
      </w:r>
    </w:p>
    <w:p w:rsidR="006A285B" w:rsidRDefault="006A285B">
      <w:pPr>
        <w:rPr>
          <w:color w:val="4472C4"/>
          <w:sz w:val="24"/>
          <w:szCs w:val="24"/>
        </w:rPr>
      </w:pPr>
    </w:p>
    <w:p w:rsidR="006A285B" w:rsidRDefault="00885F58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******************    END OF CHANGES   ************************</w:t>
      </w:r>
    </w:p>
    <w:sectPr w:rsidR="006A285B">
      <w:footerReference w:type="even" r:id="rId6"/>
      <w:footerReference w:type="default" r:id="rId7"/>
      <w:footerReference w:type="first" r:id="rId8"/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F58" w:rsidRDefault="00885F58">
      <w:pPr>
        <w:spacing w:after="0"/>
      </w:pPr>
      <w:r>
        <w:separator/>
      </w:r>
    </w:p>
  </w:endnote>
  <w:endnote w:type="continuationSeparator" w:id="0">
    <w:p w:rsidR="00885F58" w:rsidRDefault="00885F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85B" w:rsidRDefault="00885F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hidden="0" allowOverlap="1">
              <wp:simplePos x="0" y="0"/>
              <wp:positionH relativeFrom="column">
                <wp:posOffset>4292600</wp:posOffset>
              </wp:positionH>
              <wp:positionV relativeFrom="paragraph">
                <wp:posOffset>0</wp:posOffset>
              </wp:positionV>
              <wp:extent cx="1078865" cy="400050"/>
              <wp:effectExtent l="0" t="0" r="0" b="0"/>
              <wp:wrapNone/>
              <wp:docPr id="1" name="Rectangle 1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A285B" w:rsidRDefault="00885F58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4292600</wp:posOffset>
              </wp:positionH>
              <wp:positionV relativeFrom="paragraph">
                <wp:posOffset>0</wp:posOffset>
              </wp:positionV>
              <wp:extent cx="1078865" cy="400050"/>
              <wp:effectExtent b="0" l="0" r="0" t="0"/>
              <wp:wrapNone/>
              <wp:docPr descr="Cisco Confidential" id="1" name="image1.png"/>
              <a:graphic>
                <a:graphicData uri="http://schemas.openxmlformats.org/drawingml/2006/picture">
                  <pic:pic>
                    <pic:nvPicPr>
                      <pic:cNvPr descr="Cisco Confidential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8865" cy="400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85B" w:rsidRDefault="006A285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85B" w:rsidRDefault="00885F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4292600</wp:posOffset>
              </wp:positionH>
              <wp:positionV relativeFrom="paragraph">
                <wp:posOffset>0</wp:posOffset>
              </wp:positionV>
              <wp:extent cx="1078865" cy="400050"/>
              <wp:effectExtent l="0" t="0" r="0" b="0"/>
              <wp:wrapNone/>
              <wp:docPr id="2" name="Rectangle 2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A285B" w:rsidRDefault="00885F58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4292600</wp:posOffset>
              </wp:positionH>
              <wp:positionV relativeFrom="paragraph">
                <wp:posOffset>0</wp:posOffset>
              </wp:positionV>
              <wp:extent cx="1078865" cy="400050"/>
              <wp:effectExtent b="0" l="0" r="0" t="0"/>
              <wp:wrapNone/>
              <wp:docPr descr="Cisco Confidential" id="2" name="image2.png"/>
              <a:graphic>
                <a:graphicData uri="http://schemas.openxmlformats.org/drawingml/2006/picture">
                  <pic:pic>
                    <pic:nvPicPr>
                      <pic:cNvPr descr="Cisco Confidential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8865" cy="400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F58" w:rsidRDefault="00885F58">
      <w:pPr>
        <w:spacing w:after="0"/>
      </w:pPr>
      <w:r>
        <w:separator/>
      </w:r>
    </w:p>
  </w:footnote>
  <w:footnote w:type="continuationSeparator" w:id="0">
    <w:p w:rsidR="00885F58" w:rsidRDefault="00885F5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85B"/>
    <w:rsid w:val="005A183B"/>
    <w:rsid w:val="006A285B"/>
    <w:rsid w:val="0070796B"/>
    <w:rsid w:val="0088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36563"/>
  <w15:docId w15:val="{BCA160FD-1700-4D9D-BDE3-38F6B6040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9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9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Jiwan Ninglekhu</cp:lastModifiedBy>
  <cp:revision>4</cp:revision>
  <dcterms:created xsi:type="dcterms:W3CDTF">2024-11-15T17:24:00Z</dcterms:created>
  <dcterms:modified xsi:type="dcterms:W3CDTF">2024-11-15T17:27:00Z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lassificationContentMarkingFooterShapeIds">
    <vt:lpwstr>378c64e3,2072538f,7f6e4ff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Cisco Confidential</vt:lpwstr>
  </property>
  <property fmtid="{D5CDD505-2E9C-101B-9397-08002B2CF9AE}" pid="19" name="MSIP_Label_c8f49a32-fde3-48a5-9266-b5b0972a22dc_Enabled">
    <vt:lpwstr>true</vt:lpwstr>
  </property>
  <property fmtid="{D5CDD505-2E9C-101B-9397-08002B2CF9AE}" pid="20" name="MSIP_Label_c8f49a32-fde3-48a5-9266-b5b0972a22dc_SetDate">
    <vt:lpwstr>2024-10-15T11:08:11Z</vt:lpwstr>
  </property>
  <property fmtid="{D5CDD505-2E9C-101B-9397-08002B2CF9AE}" pid="21" name="MSIP_Label_c8f49a32-fde3-48a5-9266-b5b0972a22dc_Method">
    <vt:lpwstr>Standard</vt:lpwstr>
  </property>
  <property fmtid="{D5CDD505-2E9C-101B-9397-08002B2CF9AE}" pid="22" name="MSIP_Label_c8f49a32-fde3-48a5-9266-b5b0972a22dc_Name">
    <vt:lpwstr>Cisco Confidential</vt:lpwstr>
  </property>
  <property fmtid="{D5CDD505-2E9C-101B-9397-08002B2CF9AE}" pid="23" name="MSIP_Label_c8f49a32-fde3-48a5-9266-b5b0972a22dc_SiteId">
    <vt:lpwstr>5ae1af62-9505-4097-a69a-c1553ef7840e</vt:lpwstr>
  </property>
  <property fmtid="{D5CDD505-2E9C-101B-9397-08002B2CF9AE}" pid="24" name="MSIP_Label_c8f49a32-fde3-48a5-9266-b5b0972a22dc_ActionId">
    <vt:lpwstr>ca2598d5-d20d-4a55-9a0a-d0795b4d200f</vt:lpwstr>
  </property>
  <property fmtid="{D5CDD505-2E9C-101B-9397-08002B2CF9AE}" pid="25" name="MSIP_Label_c8f49a32-fde3-48a5-9266-b5b0972a22dc_ContentBits">
    <vt:lpwstr>2</vt:lpwstr>
  </property>
</Properties>
</file>