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717786" w14:textId="4AB05F94" w:rsidR="00FC63AA" w:rsidRDefault="00FC63AA" w:rsidP="00FC63AA">
      <w:pPr>
        <w:tabs>
          <w:tab w:val="right" w:pos="9639"/>
        </w:tabs>
        <w:spacing w:after="0"/>
        <w:rPr>
          <w:rFonts w:ascii="Arial" w:hAnsi="Arial" w:cs="Arial"/>
          <w:b/>
          <w:sz w:val="22"/>
          <w:szCs w:val="22"/>
          <w:lang w:eastAsia="en-GB"/>
        </w:rPr>
      </w:pPr>
      <w:r>
        <w:rPr>
          <w:rFonts w:ascii="Arial" w:hAnsi="Arial" w:cs="Arial"/>
          <w:b/>
          <w:sz w:val="22"/>
          <w:szCs w:val="22"/>
        </w:rPr>
        <w:t>3GPP TSG-SA3 Meeting #118</w:t>
      </w:r>
      <w:r>
        <w:rPr>
          <w:rFonts w:ascii="Arial" w:hAnsi="Arial" w:cs="Arial"/>
          <w:b/>
          <w:sz w:val="22"/>
          <w:szCs w:val="22"/>
        </w:rPr>
        <w:tab/>
      </w:r>
      <w:r w:rsidR="00DB46D6">
        <w:rPr>
          <w:rFonts w:ascii="Arial" w:hAnsi="Arial" w:cs="Arial"/>
          <w:b/>
          <w:sz w:val="22"/>
          <w:szCs w:val="22"/>
        </w:rPr>
        <w:t>S3-24434</w:t>
      </w:r>
    </w:p>
    <w:p w14:paraId="6C030CF8" w14:textId="1B5F34F0" w:rsidR="00EE33A2" w:rsidRPr="00872560" w:rsidRDefault="00FC63AA" w:rsidP="00FC63AA">
      <w:pPr>
        <w:pStyle w:val="Header"/>
        <w:rPr>
          <w:b w:val="0"/>
          <w:bCs/>
          <w:noProof/>
          <w:sz w:val="24"/>
        </w:rPr>
      </w:pPr>
      <w:r>
        <w:rPr>
          <w:rFonts w:cs="Arial"/>
          <w:sz w:val="22"/>
          <w:szCs w:val="22"/>
        </w:rPr>
        <w:t>Hyderabad, India  14 – 18 October 2024</w:t>
      </w:r>
      <w:r w:rsidR="00DB46D6">
        <w:rPr>
          <w:rFonts w:cs="Arial"/>
          <w:sz w:val="22"/>
          <w:szCs w:val="22"/>
        </w:rPr>
        <w:tab/>
      </w:r>
      <w:r w:rsidR="00DB46D6">
        <w:rPr>
          <w:rFonts w:cs="Arial"/>
          <w:sz w:val="22"/>
          <w:szCs w:val="22"/>
        </w:rPr>
        <w:tab/>
      </w:r>
      <w:r w:rsidR="00DB46D6">
        <w:rPr>
          <w:rFonts w:cs="Arial"/>
          <w:sz w:val="22"/>
          <w:szCs w:val="22"/>
        </w:rPr>
        <w:tab/>
      </w:r>
      <w:r w:rsidR="00DB46D6">
        <w:rPr>
          <w:rFonts w:cs="Arial"/>
          <w:sz w:val="22"/>
          <w:szCs w:val="22"/>
        </w:rPr>
        <w:tab/>
      </w:r>
      <w:r w:rsidR="00DB46D6">
        <w:rPr>
          <w:rFonts w:cs="Arial"/>
          <w:sz w:val="22"/>
          <w:szCs w:val="22"/>
        </w:rPr>
        <w:tab/>
      </w:r>
      <w:r w:rsidR="00DB46D6">
        <w:rPr>
          <w:rFonts w:cs="Arial"/>
          <w:sz w:val="22"/>
          <w:szCs w:val="22"/>
        </w:rPr>
        <w:tab/>
      </w:r>
      <w:r w:rsidR="00DB46D6">
        <w:rPr>
          <w:rFonts w:cs="Arial"/>
          <w:sz w:val="22"/>
          <w:szCs w:val="22"/>
        </w:rPr>
        <w:tab/>
      </w:r>
      <w:r w:rsidR="00DB46D6">
        <w:rPr>
          <w:rFonts w:cs="Arial"/>
          <w:sz w:val="22"/>
          <w:szCs w:val="22"/>
        </w:rPr>
        <w:tab/>
      </w:r>
      <w:r w:rsidR="00DB46D6">
        <w:rPr>
          <w:rFonts w:cs="Arial"/>
          <w:sz w:val="22"/>
          <w:szCs w:val="22"/>
        </w:rPr>
        <w:tab/>
      </w:r>
      <w:r w:rsidR="00DB46D6">
        <w:rPr>
          <w:rFonts w:cs="Arial"/>
          <w:sz w:val="22"/>
          <w:szCs w:val="22"/>
        </w:rPr>
        <w:tab/>
      </w:r>
      <w:r w:rsidR="00DB46D6">
        <w:rPr>
          <w:rFonts w:cs="Arial"/>
          <w:sz w:val="22"/>
          <w:szCs w:val="22"/>
        </w:rPr>
        <w:tab/>
      </w:r>
      <w:r w:rsidR="00DB46D6">
        <w:rPr>
          <w:rFonts w:cs="Arial"/>
          <w:sz w:val="22"/>
          <w:szCs w:val="22"/>
        </w:rPr>
        <w:tab/>
        <w:t xml:space="preserve">revision of </w:t>
      </w:r>
      <w:r w:rsidR="00DB46D6" w:rsidRPr="00F30E84">
        <w:rPr>
          <w:rFonts w:cs="Arial"/>
          <w:sz w:val="22"/>
          <w:szCs w:val="22"/>
        </w:rPr>
        <w:t>S3-244075</w:t>
      </w:r>
    </w:p>
    <w:p w14:paraId="4C157643" w14:textId="77777777" w:rsidR="0010401F" w:rsidRDefault="0010401F">
      <w:pPr>
        <w:keepNext/>
        <w:pBdr>
          <w:bottom w:val="single" w:sz="4" w:space="1" w:color="auto"/>
        </w:pBdr>
        <w:tabs>
          <w:tab w:val="right" w:pos="9639"/>
        </w:tabs>
        <w:outlineLvl w:val="0"/>
        <w:rPr>
          <w:rFonts w:ascii="Arial" w:hAnsi="Arial" w:cs="Arial"/>
          <w:b/>
          <w:sz w:val="24"/>
        </w:rPr>
      </w:pPr>
    </w:p>
    <w:p w14:paraId="6E66BF08" w14:textId="2C40322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54D09">
        <w:rPr>
          <w:rFonts w:ascii="Arial" w:hAnsi="Arial"/>
          <w:b/>
          <w:lang w:val="en-US"/>
        </w:rPr>
        <w:t>Nokia</w:t>
      </w:r>
    </w:p>
    <w:p w14:paraId="76BB75D0" w14:textId="17CCD40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54D09">
        <w:rPr>
          <w:rFonts w:ascii="Arial" w:hAnsi="Arial" w:cs="Arial"/>
          <w:b/>
        </w:rPr>
        <w:t>Evaluation of solution #10</w:t>
      </w:r>
    </w:p>
    <w:p w14:paraId="10A39996" w14:textId="23EBD82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F47CE0E" w14:textId="6E036B4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54D09">
        <w:rPr>
          <w:rFonts w:ascii="Arial" w:hAnsi="Arial"/>
          <w:b/>
        </w:rPr>
        <w:t>5.1</w:t>
      </w:r>
    </w:p>
    <w:p w14:paraId="30B8E2A0" w14:textId="77777777" w:rsidR="00C022E3" w:rsidRDefault="00C022E3">
      <w:pPr>
        <w:pStyle w:val="Heading1"/>
      </w:pPr>
      <w:r>
        <w:t>1</w:t>
      </w:r>
      <w:r>
        <w:tab/>
        <w:t>Decision/action requested</w:t>
      </w:r>
    </w:p>
    <w:p w14:paraId="3FDAF190" w14:textId="6D1C7917" w:rsidR="00C022E3" w:rsidRDefault="002A47A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required to approve this contribution which adds an evaluation to solution #10 of the TR</w:t>
      </w:r>
    </w:p>
    <w:p w14:paraId="4D71E832" w14:textId="77777777" w:rsidR="00C022E3" w:rsidRDefault="00C022E3">
      <w:pPr>
        <w:pStyle w:val="Heading1"/>
      </w:pPr>
      <w:r>
        <w:t>2</w:t>
      </w:r>
      <w:r>
        <w:tab/>
        <w:t>References</w:t>
      </w:r>
    </w:p>
    <w:p w14:paraId="4E4FACAC" w14:textId="0F742D07" w:rsidR="00C022E3" w:rsidRPr="002A47A3" w:rsidRDefault="00C022E3" w:rsidP="002A47A3">
      <w:pPr>
        <w:pStyle w:val="Reference"/>
        <w:rPr>
          <w:lang w:val="fr-FR"/>
        </w:rPr>
      </w:pPr>
      <w:r w:rsidRPr="002A47A3">
        <w:t>[1]</w:t>
      </w:r>
      <w:r w:rsidRPr="002A47A3">
        <w:tab/>
        <w:t xml:space="preserve">3GPP </w:t>
      </w:r>
      <w:r w:rsidR="00B7147B">
        <w:t>TR 33.794 “</w:t>
      </w:r>
      <w:r w:rsidR="00B7147B" w:rsidRPr="00B7147B">
        <w:t>Study on enablers for Zero Trust Security</w:t>
      </w:r>
      <w:r w:rsidR="00B7147B">
        <w:t>”</w:t>
      </w:r>
    </w:p>
    <w:p w14:paraId="61A024B7" w14:textId="77777777" w:rsidR="00C022E3" w:rsidRDefault="00C022E3">
      <w:pPr>
        <w:pStyle w:val="Heading1"/>
      </w:pPr>
      <w:r>
        <w:t>3</w:t>
      </w:r>
      <w:r>
        <w:tab/>
        <w:t>Rationale</w:t>
      </w:r>
    </w:p>
    <w:p w14:paraId="5C504ECE" w14:textId="77777777" w:rsidR="00EB4128" w:rsidRDefault="00B7147B" w:rsidP="00B7147B">
      <w:pPr>
        <w:rPr>
          <w:iCs/>
        </w:rPr>
      </w:pPr>
      <w:r>
        <w:rPr>
          <w:iCs/>
        </w:rPr>
        <w:t xml:space="preserve">The contribution is intended to add the evaluation to solution #10, as well as to </w:t>
      </w:r>
      <w:r w:rsidR="00EB4128">
        <w:rPr>
          <w:iCs/>
        </w:rPr>
        <w:t>provide the clarifications required to resolve the actual editor’s note:</w:t>
      </w:r>
    </w:p>
    <w:p w14:paraId="58CAC711" w14:textId="77777777" w:rsidR="00EB4128" w:rsidRPr="006959BC" w:rsidRDefault="00EB4128" w:rsidP="00EB4128">
      <w:pPr>
        <w:pStyle w:val="EditorsNote"/>
        <w:rPr>
          <w:lang w:eastAsia="en-GB"/>
        </w:rPr>
      </w:pPr>
      <w:r>
        <w:rPr>
          <w:lang w:eastAsia="en-GB"/>
        </w:rPr>
        <w:t>Editor’s Note: the details of the security evaluation are ffs.</w:t>
      </w:r>
    </w:p>
    <w:p w14:paraId="312F64CC" w14:textId="734539E4" w:rsidR="00C022E3" w:rsidRDefault="007E4D72" w:rsidP="00B7147B">
      <w:pPr>
        <w:rPr>
          <w:iCs/>
        </w:rPr>
      </w:pPr>
      <w:r>
        <w:rPr>
          <w:iCs/>
        </w:rPr>
        <w:t>The following details have been added:</w:t>
      </w:r>
    </w:p>
    <w:p w14:paraId="1AC794FA" w14:textId="478ACC13" w:rsidR="00580028" w:rsidRDefault="007E4D72" w:rsidP="00B7147B">
      <w:pPr>
        <w:rPr>
          <w:iCs/>
        </w:rPr>
      </w:pPr>
      <w:r w:rsidRPr="007E4D72">
        <w:rPr>
          <w:iCs/>
        </w:rPr>
        <w:t>The security evaluation per NF is to be performed by the OSF. It can be implemented for example by a trust score or indication, represented by a scalar value within a certain range, and defined by a metric where low values refer to potential compromised NFs. The derivation of the trust score can be calculated from data collected from the NFs themselves (see KI#1 of the present document), OAM systems, or other specialized security devices. The computing of the value would need to consider fluctuation in the collected information (e.g., recent security events, logs, anomalies, etc.), and also a validity period in which the estimated trust score is valid.</w:t>
      </w:r>
    </w:p>
    <w:p w14:paraId="1C2CE8B7" w14:textId="76AAD232" w:rsidR="00580028" w:rsidRPr="00B7147B" w:rsidRDefault="00580028" w:rsidP="00B7147B">
      <w:pPr>
        <w:rPr>
          <w:iCs/>
        </w:rPr>
      </w:pPr>
      <w:r>
        <w:rPr>
          <w:iCs/>
        </w:rPr>
        <w:t xml:space="preserve">A few editorial typos have been also corrected. </w:t>
      </w:r>
    </w:p>
    <w:p w14:paraId="023AB7EF" w14:textId="77777777" w:rsidR="00C022E3" w:rsidRDefault="00C022E3">
      <w:pPr>
        <w:pStyle w:val="Heading1"/>
      </w:pPr>
      <w:r>
        <w:t>4</w:t>
      </w:r>
      <w:r>
        <w:tab/>
        <w:t xml:space="preserve">Detailed </w:t>
      </w:r>
      <w:proofErr w:type="gramStart"/>
      <w:r>
        <w:t>proposal</w:t>
      </w:r>
      <w:proofErr w:type="gramEnd"/>
    </w:p>
    <w:p w14:paraId="45089AD0" w14:textId="44EFC933" w:rsidR="00EB4128" w:rsidRPr="00EB4128" w:rsidRDefault="00EB4128" w:rsidP="00EB4128">
      <w:pPr>
        <w:rPr>
          <w:i/>
          <w:iCs/>
          <w:sz w:val="28"/>
          <w:szCs w:val="28"/>
          <w:lang w:eastAsia="zh-CN"/>
        </w:rPr>
      </w:pPr>
      <w:bookmarkStart w:id="0" w:name="_Toc175571485"/>
      <w:r w:rsidRPr="00EB4128">
        <w:rPr>
          <w:i/>
          <w:iCs/>
          <w:sz w:val="28"/>
          <w:szCs w:val="28"/>
          <w:lang w:eastAsia="zh-CN"/>
        </w:rPr>
        <w:t>******* START of CHANGES*************************</w:t>
      </w:r>
    </w:p>
    <w:p w14:paraId="6660B358" w14:textId="4DE42913" w:rsidR="00EB4128" w:rsidRPr="00576EDA" w:rsidRDefault="00EB4128" w:rsidP="00EB4128">
      <w:pPr>
        <w:pStyle w:val="Heading2"/>
        <w:rPr>
          <w:lang w:eastAsia="zh-CN"/>
        </w:rPr>
      </w:pPr>
      <w:r w:rsidRPr="00576EDA">
        <w:rPr>
          <w:lang w:eastAsia="zh-CN"/>
        </w:rPr>
        <w:t>7.10</w:t>
      </w:r>
      <w:r w:rsidRPr="00576EDA">
        <w:rPr>
          <w:lang w:eastAsia="zh-CN"/>
        </w:rPr>
        <w:tab/>
        <w:t>Solution #10: Enhancement of SBA access control decision mechanisms</w:t>
      </w:r>
      <w:bookmarkEnd w:id="0"/>
    </w:p>
    <w:p w14:paraId="26CD1B99" w14:textId="77777777" w:rsidR="00EB4128" w:rsidRPr="00576EDA" w:rsidRDefault="00EB4128" w:rsidP="00EB4128">
      <w:pPr>
        <w:pStyle w:val="Heading3"/>
      </w:pPr>
      <w:bookmarkStart w:id="1" w:name="_Toc159226040"/>
      <w:bookmarkStart w:id="2" w:name="_Toc164591843"/>
      <w:bookmarkStart w:id="3" w:name="_Toc175571486"/>
      <w:r w:rsidRPr="00576EDA">
        <w:rPr>
          <w:lang w:eastAsia="zh-CN"/>
        </w:rPr>
        <w:t>7</w:t>
      </w:r>
      <w:r w:rsidRPr="00576EDA">
        <w:t>.10.1</w:t>
      </w:r>
      <w:r w:rsidRPr="00576EDA">
        <w:tab/>
        <w:t>Introduction</w:t>
      </w:r>
      <w:bookmarkEnd w:id="1"/>
      <w:bookmarkEnd w:id="2"/>
      <w:bookmarkEnd w:id="3"/>
    </w:p>
    <w:p w14:paraId="25A89440" w14:textId="77777777" w:rsidR="00EB4128" w:rsidRDefault="00EB4128" w:rsidP="00EB4128">
      <w:r w:rsidRPr="00576EDA">
        <w:t xml:space="preserve">The main principle of the solution is to assign the NRF the role of Policy Enforcement Point (PEP) according to Zero Trust Architecture building blocks, which based on the information received from the Operator’s Security function (e.g., SIEM, SOAR, </w:t>
      </w:r>
      <w:proofErr w:type="spellStart"/>
      <w:r w:rsidRPr="00576EDA">
        <w:t>xDR</w:t>
      </w:r>
      <w:proofErr w:type="spellEnd"/>
      <w:r w:rsidRPr="00576EDA">
        <w:t>, etc.) acting as Policy Decision Point (PDP), is capable of enforcing security policies that impact the service request, NF service update, NF service discovery procedures among others as described in clause 5.2.1 of the present document. For example, if the NRF is updated with information related to suspicious or compromised NF(s</w:t>
      </w:r>
      <w:r>
        <w:t xml:space="preserve">), based on operator policy, the NRF can further take the action to block the access token request, or the discovery request, from those suspicious or compromised NF(s). </w:t>
      </w:r>
    </w:p>
    <w:p w14:paraId="4F4C22A8" w14:textId="77777777" w:rsidR="00EB4128" w:rsidRPr="00576EDA" w:rsidRDefault="00EB4128" w:rsidP="00EB4128">
      <w:pPr>
        <w:keepNext/>
        <w:jc w:val="center"/>
      </w:pPr>
      <w:r w:rsidRPr="00576EDA">
        <w:object w:dxaOrig="6060" w:dyaOrig="3480" w14:anchorId="322B07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pt;height:144.6pt" o:ole="">
            <v:imagedata r:id="rId12" o:title=""/>
          </v:shape>
          <o:OLEObject Type="Embed" ProgID="Visio.Drawing.15" ShapeID="_x0000_i1025" DrawAspect="Content" ObjectID="_1790747992" r:id="rId13"/>
        </w:object>
      </w:r>
    </w:p>
    <w:p w14:paraId="36DA64D8" w14:textId="77777777" w:rsidR="00EB4128" w:rsidRPr="00576EDA" w:rsidRDefault="00EB4128" w:rsidP="00EB4128">
      <w:pPr>
        <w:pStyle w:val="Caption"/>
        <w:jc w:val="center"/>
      </w:pPr>
      <w:r w:rsidRPr="00576EDA">
        <w:t>Figure 7.10.1-1: Conceptual schema of PDP and PEP in SBA when NRF is acting as PEP.</w:t>
      </w:r>
    </w:p>
    <w:p w14:paraId="735B75D4" w14:textId="77777777" w:rsidR="00EB4128" w:rsidRPr="00576EDA" w:rsidRDefault="00EB4128" w:rsidP="00EB4128">
      <w:pPr>
        <w:pStyle w:val="NO"/>
      </w:pPr>
      <w:r w:rsidRPr="00576EDA">
        <w:t>NOTE:</w:t>
      </w:r>
      <w:r w:rsidRPr="00576EDA">
        <w:tab/>
        <w:t xml:space="preserve">The data collection and further analysis in PDP to make policy decisions is not in the scope of the proposed solution, therefore, whether the data collection functionality is implemented within the SBA or outside SBA layer is not relevant for the solution. </w:t>
      </w:r>
    </w:p>
    <w:p w14:paraId="16C42B2C" w14:textId="77777777" w:rsidR="00EB4128" w:rsidRPr="00576EDA" w:rsidRDefault="00EB4128" w:rsidP="00EB4128">
      <w:pPr>
        <w:pStyle w:val="Heading3"/>
      </w:pPr>
      <w:bookmarkStart w:id="4" w:name="_Toc175571487"/>
      <w:r w:rsidRPr="00576EDA">
        <w:rPr>
          <w:lang w:eastAsia="zh-CN"/>
        </w:rPr>
        <w:t>7</w:t>
      </w:r>
      <w:r w:rsidRPr="00576EDA">
        <w:t>.10.2</w:t>
      </w:r>
      <w:r w:rsidRPr="00576EDA">
        <w:tab/>
        <w:t>Solution details</w:t>
      </w:r>
      <w:bookmarkEnd w:id="4"/>
    </w:p>
    <w:p w14:paraId="7EB8F2D9" w14:textId="77777777" w:rsidR="00EB4128" w:rsidRDefault="00EB4128" w:rsidP="00EB4128">
      <w:r w:rsidRPr="00576EDA">
        <w:t>Figure 7.10.2-1 illustrates the overall procedure to enable the NRF to proceed with the issuing of access token, serving discovery requests, etc., based</w:t>
      </w:r>
      <w:r>
        <w:t xml:space="preserve"> on the security information provided by the operator’s security function.  </w:t>
      </w:r>
    </w:p>
    <w:p w14:paraId="1849740F" w14:textId="77777777" w:rsidR="00EB4128" w:rsidRDefault="00EB4128" w:rsidP="00EB4128"/>
    <w:p w14:paraId="54F6156D" w14:textId="77777777" w:rsidR="00EB4128" w:rsidRDefault="00EB4128" w:rsidP="00EB4128">
      <w:pPr>
        <w:keepNext/>
        <w:jc w:val="center"/>
      </w:pPr>
      <w:r>
        <w:object w:dxaOrig="11530" w:dyaOrig="6820" w14:anchorId="37D7A1A3">
          <v:shape id="_x0000_i1026" type="#_x0000_t75" style="width:435.25pt;height:257.45pt" o:ole="">
            <v:imagedata r:id="rId14" o:title=""/>
          </v:shape>
          <o:OLEObject Type="Embed" ProgID="Visio.Drawing.15" ShapeID="_x0000_i1026" DrawAspect="Content" ObjectID="_1790747993" r:id="rId15"/>
        </w:object>
      </w:r>
    </w:p>
    <w:p w14:paraId="7FA0D65A" w14:textId="77777777" w:rsidR="00EB4128" w:rsidRPr="00576EDA" w:rsidRDefault="00EB4128" w:rsidP="00EB4128">
      <w:pPr>
        <w:pStyle w:val="Caption"/>
        <w:jc w:val="center"/>
      </w:pPr>
      <w:r w:rsidRPr="00576EDA">
        <w:t>Figure 7.10.2-1: Enhanced SBA access control decision procedure with security evaluation</w:t>
      </w:r>
    </w:p>
    <w:p w14:paraId="584C4024" w14:textId="77777777" w:rsidR="00EB4128" w:rsidRPr="00576EDA" w:rsidRDefault="00EB4128" w:rsidP="00EB4128">
      <w:pPr>
        <w:pStyle w:val="B1"/>
        <w:ind w:left="284"/>
      </w:pPr>
      <w:r w:rsidRPr="00576EDA">
        <w:t xml:space="preserve">1a-1b. The Operator ´s Security Function updates the NRF with the security evaluation of the registered NFs (consumer or producers). The updates can be communicated via </w:t>
      </w:r>
      <w:proofErr w:type="spellStart"/>
      <w:r w:rsidRPr="00576EDA">
        <w:t>signaling</w:t>
      </w:r>
      <w:proofErr w:type="spellEnd"/>
      <w:r w:rsidRPr="00576EDA">
        <w:t xml:space="preserve"> (SBI interface) using services exposed by NRF, or via OAM interface.</w:t>
      </w:r>
    </w:p>
    <w:p w14:paraId="00459241" w14:textId="77777777" w:rsidR="00EB4128" w:rsidRDefault="00EB4128" w:rsidP="00EB4128">
      <w:pPr>
        <w:pStyle w:val="NO"/>
      </w:pPr>
      <w:r w:rsidRPr="00576EDA">
        <w:t xml:space="preserve">NOTE 1: </w:t>
      </w:r>
      <w:proofErr w:type="spellStart"/>
      <w:r w:rsidRPr="00576EDA">
        <w:t>Nnrf_NFManagement</w:t>
      </w:r>
      <w:r>
        <w:t>_NFUpdate</w:t>
      </w:r>
      <w:proofErr w:type="spellEnd"/>
      <w:r>
        <w:t xml:space="preserve"> is provided as an example. The concrete API/Service to be used is to be defined in normative phase. </w:t>
      </w:r>
    </w:p>
    <w:p w14:paraId="08086DAE" w14:textId="6979F391" w:rsidR="00EB4128" w:rsidRPr="006959BC" w:rsidDel="00463512" w:rsidRDefault="00EB4128" w:rsidP="00EB4128">
      <w:pPr>
        <w:pStyle w:val="EditorsNote"/>
        <w:rPr>
          <w:del w:id="5" w:author="Nokia" w:date="2024-10-04T16:56:00Z" w16du:dateUtc="2024-10-04T14:56:00Z"/>
          <w:lang w:eastAsia="en-GB"/>
        </w:rPr>
      </w:pPr>
      <w:del w:id="6" w:author="Nokia" w:date="2024-10-04T16:56:00Z" w16du:dateUtc="2024-10-04T14:56:00Z">
        <w:r w:rsidDel="00463512">
          <w:rPr>
            <w:lang w:eastAsia="en-GB"/>
          </w:rPr>
          <w:delText>Editor’s Note: the details of the security evaluation are ffs.</w:delText>
        </w:r>
      </w:del>
    </w:p>
    <w:p w14:paraId="5883C48C" w14:textId="3A405E8B" w:rsidR="0047590C" w:rsidRDefault="00036E7C" w:rsidP="00EB4128">
      <w:pPr>
        <w:rPr>
          <w:ins w:id="7" w:author="Nokia" w:date="2024-10-04T16:56:00Z" w16du:dateUtc="2024-10-04T14:56:00Z"/>
        </w:rPr>
      </w:pPr>
      <w:bookmarkStart w:id="8" w:name="_Hlk178955686"/>
      <w:ins w:id="9" w:author="NOKIA-1" w:date="2024-10-07T10:47:00Z" w16du:dateUtc="2024-10-07T05:17:00Z">
        <w:r>
          <w:t>The security evaluation per NF is to be performed by the OSF. It can be implemented for example by a trust score or indication, represented by a scalar value within a certain range, and defined by a metric where low values refer to potential compromised NFs. The derivation of the trust score can be calculated from data collected from the NFs themselves (see KI#1 of the present document), OAM systems, or other specialized security devices. The computing of the value would need to consider fluctuation in the collected information (e.g., recent security events, logs, anomalies, etc.), and also a validity period in which the estimated trust score is valid.</w:t>
        </w:r>
      </w:ins>
    </w:p>
    <w:bookmarkEnd w:id="8"/>
    <w:p w14:paraId="46646A2E" w14:textId="720F858F" w:rsidR="00EB4128" w:rsidRDefault="00EB4128" w:rsidP="00EB4128">
      <w:r>
        <w:t xml:space="preserve">The procedure collects the scenarios described in clause 5.2.1.2 of the present document in variants a), b) and c) respectively. Those variants are presented as examples. </w:t>
      </w:r>
    </w:p>
    <w:p w14:paraId="154A30E2" w14:textId="77777777" w:rsidR="00EB4128" w:rsidRPr="00FC326B" w:rsidRDefault="00EB4128" w:rsidP="00EB4128">
      <w:r>
        <w:t>In general, if the service requests to the NRF (e.g., access token, discovery, updates, etc.) come from a malicious or compromised NF (producer or consumer), previously registered in the NRF and considered malicious or compromised by the Operator’s Security Function, they will be blocked by NRF.</w:t>
      </w:r>
    </w:p>
    <w:p w14:paraId="5A4211E9" w14:textId="77777777" w:rsidR="00EB4128" w:rsidRDefault="00EB4128" w:rsidP="00EB4128">
      <w:r>
        <w:t xml:space="preserve">The NRF will not expose services coming from malicious or compromised NF producers towards NF consumers. For example, malicious or compromised NF producers will not be discovered.  </w:t>
      </w:r>
    </w:p>
    <w:p w14:paraId="33B6003F" w14:textId="77777777" w:rsidR="00EB4128" w:rsidRDefault="00EB4128" w:rsidP="00EB4128">
      <w:pPr>
        <w:pStyle w:val="B1"/>
        <w:overflowPunct w:val="0"/>
        <w:autoSpaceDE w:val="0"/>
        <w:autoSpaceDN w:val="0"/>
        <w:adjustRightInd w:val="0"/>
        <w:ind w:left="284"/>
        <w:textAlignment w:val="baseline"/>
        <w:rPr>
          <w:lang w:eastAsia="en-GB"/>
        </w:rPr>
      </w:pPr>
      <w:r>
        <w:rPr>
          <w:lang w:eastAsia="en-GB"/>
        </w:rPr>
        <w:t xml:space="preserve">2a. A </w:t>
      </w:r>
      <w:proofErr w:type="spellStart"/>
      <w:r>
        <w:rPr>
          <w:lang w:eastAsia="en-GB"/>
        </w:rPr>
        <w:t>NFc</w:t>
      </w:r>
      <w:proofErr w:type="spellEnd"/>
      <w:r>
        <w:rPr>
          <w:lang w:eastAsia="en-GB"/>
        </w:rPr>
        <w:t xml:space="preserve"> requests an access token to the NRF.</w:t>
      </w:r>
    </w:p>
    <w:p w14:paraId="68343A3D" w14:textId="77777777" w:rsidR="00EB4128" w:rsidRDefault="00EB4128" w:rsidP="00EB4128">
      <w:pPr>
        <w:pStyle w:val="B1"/>
        <w:overflowPunct w:val="0"/>
        <w:autoSpaceDE w:val="0"/>
        <w:autoSpaceDN w:val="0"/>
        <w:adjustRightInd w:val="0"/>
        <w:ind w:left="284"/>
        <w:textAlignment w:val="baseline"/>
        <w:rPr>
          <w:lang w:eastAsia="en-GB"/>
        </w:rPr>
      </w:pPr>
      <w:r>
        <w:rPr>
          <w:lang w:eastAsia="en-GB"/>
        </w:rPr>
        <w:t xml:space="preserve">3a. The NRF checks whether the </w:t>
      </w:r>
      <w:proofErr w:type="spellStart"/>
      <w:r>
        <w:rPr>
          <w:lang w:eastAsia="en-GB"/>
        </w:rPr>
        <w:t>NFc</w:t>
      </w:r>
      <w:proofErr w:type="spellEnd"/>
      <w:r>
        <w:rPr>
          <w:lang w:eastAsia="en-GB"/>
        </w:rPr>
        <w:t xml:space="preserve"> is authorized as well as the security evaluation provided by the Operator’s Security Function. </w:t>
      </w:r>
    </w:p>
    <w:p w14:paraId="36AB2FB2" w14:textId="77777777" w:rsidR="00EB4128" w:rsidRDefault="00EB4128" w:rsidP="00EB4128">
      <w:pPr>
        <w:pStyle w:val="NO"/>
        <w:rPr>
          <w:lang w:eastAsia="en-GB"/>
        </w:rPr>
      </w:pPr>
      <w:r>
        <w:t xml:space="preserve">NOTE 2: It is assumed that the </w:t>
      </w:r>
      <w:proofErr w:type="spellStart"/>
      <w:r>
        <w:t>NFc</w:t>
      </w:r>
      <w:proofErr w:type="spellEnd"/>
      <w:r>
        <w:t xml:space="preserve"> is registered in the NRF.</w:t>
      </w:r>
    </w:p>
    <w:p w14:paraId="60518AF7" w14:textId="77777777" w:rsidR="00EB4128" w:rsidRDefault="00EB4128" w:rsidP="00EB4128">
      <w:pPr>
        <w:pStyle w:val="B1"/>
        <w:overflowPunct w:val="0"/>
        <w:autoSpaceDE w:val="0"/>
        <w:autoSpaceDN w:val="0"/>
        <w:adjustRightInd w:val="0"/>
        <w:ind w:left="284"/>
        <w:textAlignment w:val="baseline"/>
        <w:rPr>
          <w:lang w:eastAsia="en-GB"/>
        </w:rPr>
      </w:pPr>
      <w:r>
        <w:rPr>
          <w:lang w:eastAsia="en-GB"/>
        </w:rPr>
        <w:t xml:space="preserve">4a. An access token is provided if the </w:t>
      </w:r>
      <w:proofErr w:type="spellStart"/>
      <w:r>
        <w:rPr>
          <w:lang w:eastAsia="en-GB"/>
        </w:rPr>
        <w:t>NFc</w:t>
      </w:r>
      <w:proofErr w:type="spellEnd"/>
      <w:r>
        <w:rPr>
          <w:lang w:eastAsia="en-GB"/>
        </w:rPr>
        <w:t xml:space="preserve"> is authorized, and the security evaluation is positive. </w:t>
      </w:r>
    </w:p>
    <w:p w14:paraId="334D14A0" w14:textId="77777777" w:rsidR="00EB4128" w:rsidRDefault="00EB4128" w:rsidP="00EB4128">
      <w:pPr>
        <w:pStyle w:val="B1"/>
        <w:overflowPunct w:val="0"/>
        <w:autoSpaceDE w:val="0"/>
        <w:autoSpaceDN w:val="0"/>
        <w:adjustRightInd w:val="0"/>
        <w:ind w:left="284"/>
        <w:textAlignment w:val="baseline"/>
        <w:rPr>
          <w:lang w:eastAsia="en-GB"/>
        </w:rPr>
      </w:pPr>
      <w:r>
        <w:rPr>
          <w:lang w:eastAsia="en-GB"/>
        </w:rPr>
        <w:t xml:space="preserve">2b. A </w:t>
      </w:r>
      <w:proofErr w:type="spellStart"/>
      <w:r>
        <w:rPr>
          <w:lang w:eastAsia="en-GB"/>
        </w:rPr>
        <w:t>NFp</w:t>
      </w:r>
      <w:proofErr w:type="spellEnd"/>
      <w:r>
        <w:rPr>
          <w:lang w:eastAsia="en-GB"/>
        </w:rPr>
        <w:t xml:space="preserve"> requests a profile update to the NRF. </w:t>
      </w:r>
    </w:p>
    <w:p w14:paraId="2F1D115F" w14:textId="77777777" w:rsidR="00EB4128" w:rsidRDefault="00EB4128" w:rsidP="00EB4128">
      <w:pPr>
        <w:pStyle w:val="B1"/>
        <w:overflowPunct w:val="0"/>
        <w:autoSpaceDE w:val="0"/>
        <w:autoSpaceDN w:val="0"/>
        <w:adjustRightInd w:val="0"/>
        <w:ind w:left="284"/>
        <w:textAlignment w:val="baseline"/>
        <w:rPr>
          <w:lang w:eastAsia="en-GB"/>
        </w:rPr>
      </w:pPr>
      <w:r>
        <w:rPr>
          <w:lang w:eastAsia="en-GB"/>
        </w:rPr>
        <w:t>3b. The same as step 3a.</w:t>
      </w:r>
    </w:p>
    <w:p w14:paraId="09303BC9" w14:textId="4C23F7B2" w:rsidR="00EB4128" w:rsidRDefault="00EB4128" w:rsidP="00EB4128">
      <w:pPr>
        <w:pStyle w:val="B1"/>
        <w:overflowPunct w:val="0"/>
        <w:autoSpaceDE w:val="0"/>
        <w:autoSpaceDN w:val="0"/>
        <w:adjustRightInd w:val="0"/>
        <w:ind w:left="284"/>
        <w:textAlignment w:val="baseline"/>
        <w:rPr>
          <w:lang w:eastAsia="en-GB"/>
        </w:rPr>
      </w:pPr>
      <w:r>
        <w:rPr>
          <w:lang w:eastAsia="en-GB"/>
        </w:rPr>
        <w:t xml:space="preserve">4b. The confirmation of the update is provided if the </w:t>
      </w:r>
      <w:proofErr w:type="spellStart"/>
      <w:r>
        <w:rPr>
          <w:lang w:eastAsia="en-GB"/>
        </w:rPr>
        <w:t>NFc</w:t>
      </w:r>
      <w:proofErr w:type="spellEnd"/>
      <w:r>
        <w:rPr>
          <w:lang w:eastAsia="en-GB"/>
        </w:rPr>
        <w:t xml:space="preserve"> is authorized to make the update, and the security evaluat</w:t>
      </w:r>
      <w:ins w:id="10" w:author="Nokia" w:date="2024-10-04T00:12:00Z" w16du:dateUtc="2024-10-03T22:12:00Z">
        <w:r w:rsidR="002B653E">
          <w:rPr>
            <w:lang w:eastAsia="en-GB"/>
          </w:rPr>
          <w:t>i</w:t>
        </w:r>
      </w:ins>
      <w:r>
        <w:rPr>
          <w:lang w:eastAsia="en-GB"/>
        </w:rPr>
        <w:t>on is positive, else a message error is sent or alternatively the request is silently discarded.</w:t>
      </w:r>
    </w:p>
    <w:p w14:paraId="1A72526F" w14:textId="77777777" w:rsidR="00EB4128" w:rsidRDefault="00EB4128" w:rsidP="00EB4128">
      <w:pPr>
        <w:pStyle w:val="B1"/>
        <w:overflowPunct w:val="0"/>
        <w:autoSpaceDE w:val="0"/>
        <w:autoSpaceDN w:val="0"/>
        <w:adjustRightInd w:val="0"/>
        <w:ind w:left="284"/>
        <w:textAlignment w:val="baseline"/>
        <w:rPr>
          <w:lang w:eastAsia="en-GB"/>
        </w:rPr>
      </w:pPr>
      <w:r>
        <w:rPr>
          <w:lang w:eastAsia="en-GB"/>
        </w:rPr>
        <w:t xml:space="preserve">2c. A </w:t>
      </w:r>
      <w:proofErr w:type="spellStart"/>
      <w:r>
        <w:rPr>
          <w:lang w:eastAsia="en-GB"/>
        </w:rPr>
        <w:t>NFc</w:t>
      </w:r>
      <w:proofErr w:type="spellEnd"/>
      <w:r>
        <w:rPr>
          <w:lang w:eastAsia="en-GB"/>
        </w:rPr>
        <w:t xml:space="preserve"> requests a discovery service to the NRF. </w:t>
      </w:r>
    </w:p>
    <w:p w14:paraId="2ED11995" w14:textId="77777777" w:rsidR="00EB4128" w:rsidRDefault="00EB4128" w:rsidP="00EB4128">
      <w:pPr>
        <w:pStyle w:val="B1"/>
        <w:overflowPunct w:val="0"/>
        <w:autoSpaceDE w:val="0"/>
        <w:autoSpaceDN w:val="0"/>
        <w:adjustRightInd w:val="0"/>
        <w:ind w:left="284"/>
        <w:textAlignment w:val="baseline"/>
        <w:rPr>
          <w:lang w:eastAsia="en-GB"/>
        </w:rPr>
      </w:pPr>
      <w:r>
        <w:rPr>
          <w:lang w:eastAsia="en-GB"/>
        </w:rPr>
        <w:t>3c. The same as step 3a.</w:t>
      </w:r>
    </w:p>
    <w:p w14:paraId="26CF37E1" w14:textId="208333FB" w:rsidR="00EB4128" w:rsidRPr="00576EDA" w:rsidRDefault="00EB4128" w:rsidP="00EB4128">
      <w:pPr>
        <w:pStyle w:val="B1"/>
        <w:overflowPunct w:val="0"/>
        <w:autoSpaceDE w:val="0"/>
        <w:autoSpaceDN w:val="0"/>
        <w:adjustRightInd w:val="0"/>
        <w:ind w:left="284"/>
        <w:textAlignment w:val="baseline"/>
        <w:rPr>
          <w:lang w:eastAsia="en-GB"/>
        </w:rPr>
      </w:pPr>
      <w:r>
        <w:rPr>
          <w:lang w:eastAsia="en-GB"/>
        </w:rPr>
        <w:t xml:space="preserve">4c. The confirmation </w:t>
      </w:r>
      <w:r w:rsidRPr="00576EDA">
        <w:rPr>
          <w:lang w:eastAsia="en-GB"/>
        </w:rPr>
        <w:t xml:space="preserve">of the update is provided if the </w:t>
      </w:r>
      <w:proofErr w:type="spellStart"/>
      <w:r w:rsidRPr="00576EDA">
        <w:rPr>
          <w:lang w:eastAsia="en-GB"/>
        </w:rPr>
        <w:t>NFc</w:t>
      </w:r>
      <w:proofErr w:type="spellEnd"/>
      <w:r w:rsidRPr="00576EDA">
        <w:rPr>
          <w:lang w:eastAsia="en-GB"/>
        </w:rPr>
        <w:t xml:space="preserve"> is authorized to discover the service, and the security evaluat</w:t>
      </w:r>
      <w:ins w:id="11" w:author="Nokia" w:date="2024-10-04T17:44:00Z" w16du:dateUtc="2024-10-04T15:44:00Z">
        <w:r w:rsidR="00580028">
          <w:rPr>
            <w:lang w:eastAsia="en-GB"/>
          </w:rPr>
          <w:t>i</w:t>
        </w:r>
      </w:ins>
      <w:r w:rsidRPr="00576EDA">
        <w:rPr>
          <w:lang w:eastAsia="en-GB"/>
        </w:rPr>
        <w:t>on is positive, else a message error is sent or alternatively the request is silently discarded.</w:t>
      </w:r>
    </w:p>
    <w:p w14:paraId="769F88E7" w14:textId="77777777" w:rsidR="00EB4128" w:rsidRPr="00576EDA" w:rsidRDefault="00EB4128" w:rsidP="00EB4128">
      <w:pPr>
        <w:pStyle w:val="Heading3"/>
      </w:pPr>
      <w:bookmarkStart w:id="12" w:name="_Toc175571488"/>
      <w:r w:rsidRPr="00576EDA">
        <w:rPr>
          <w:lang w:eastAsia="zh-CN"/>
        </w:rPr>
        <w:t>7</w:t>
      </w:r>
      <w:r w:rsidRPr="00576EDA">
        <w:t>.10.3</w:t>
      </w:r>
      <w:r w:rsidRPr="00576EDA">
        <w:tab/>
        <w:t>Evaluation</w:t>
      </w:r>
      <w:bookmarkEnd w:id="12"/>
    </w:p>
    <w:p w14:paraId="615401C6" w14:textId="61DF59B3" w:rsidR="00EB4128" w:rsidRPr="00576EDA" w:rsidDel="00EB4128" w:rsidRDefault="00EB4128" w:rsidP="00EB4128">
      <w:pPr>
        <w:rPr>
          <w:del w:id="13" w:author="Nokia" w:date="2024-10-04T00:11:00Z" w16du:dateUtc="2024-10-03T22:11:00Z"/>
        </w:rPr>
      </w:pPr>
      <w:del w:id="14" w:author="Nokia" w:date="2024-10-04T00:11:00Z" w16du:dateUtc="2024-10-03T22:11:00Z">
        <w:r w:rsidRPr="00576EDA" w:rsidDel="00EB4128">
          <w:delText>t.b.d</w:delText>
        </w:r>
      </w:del>
    </w:p>
    <w:p w14:paraId="2EA05E6C" w14:textId="77777777" w:rsidR="009B517C" w:rsidRDefault="009B517C" w:rsidP="009B517C">
      <w:pPr>
        <w:rPr>
          <w:ins w:id="15" w:author="NOKIA-1" w:date="2024-10-07T10:46:00Z" w16du:dateUtc="2024-10-07T05:16:00Z"/>
        </w:rPr>
      </w:pPr>
      <w:ins w:id="16" w:author="NOKIA-1" w:date="2024-10-07T10:46:00Z" w16du:dateUtc="2024-10-07T05:16:00Z">
        <w:r>
          <w:t>The solution addresses the security threats and requirements of KI#2, in alignment with the use cases described in clause 5.2 of the present document, by:</w:t>
        </w:r>
      </w:ins>
    </w:p>
    <w:p w14:paraId="5953251B" w14:textId="77777777" w:rsidR="009B517C" w:rsidRDefault="009B517C" w:rsidP="009B517C">
      <w:pPr>
        <w:pStyle w:val="B1"/>
        <w:rPr>
          <w:ins w:id="17" w:author="NOKIA-1" w:date="2024-10-07T10:46:00Z" w16du:dateUtc="2024-10-07T05:16:00Z"/>
        </w:rPr>
      </w:pPr>
      <w:ins w:id="18" w:author="NOKIA-1" w:date="2024-10-07T10:46:00Z" w16du:dateUtc="2024-10-07T05:16:00Z">
        <w:r>
          <w:t>- Updating the NRF with security information about the NFs.</w:t>
        </w:r>
      </w:ins>
    </w:p>
    <w:p w14:paraId="65C36EC6" w14:textId="77777777" w:rsidR="009B517C" w:rsidRPr="00EB4128" w:rsidRDefault="009B517C" w:rsidP="009B517C">
      <w:pPr>
        <w:pStyle w:val="B1"/>
        <w:rPr>
          <w:ins w:id="19" w:author="NOKIA-1" w:date="2024-10-07T10:46:00Z" w16du:dateUtc="2024-10-07T05:16:00Z"/>
        </w:rPr>
      </w:pPr>
      <w:ins w:id="20" w:author="NOKIA-1" w:date="2024-10-07T10:46:00Z" w16du:dateUtc="2024-10-07T05:16:00Z">
        <w:r>
          <w:t xml:space="preserve">- Configuring the NRF, acting as a PEP, via OAM system or existing services exposed by the NRF, to enforce the corresponding security policies (e.g., discarding a request coming from a low rated NF). </w:t>
        </w:r>
      </w:ins>
    </w:p>
    <w:p w14:paraId="157D8656" w14:textId="77777777" w:rsidR="009B517C" w:rsidRDefault="009B517C" w:rsidP="009B517C">
      <w:pPr>
        <w:rPr>
          <w:ins w:id="21" w:author="NOKIA-2" w:date="2024-10-17T11:45:00Z" w16du:dateUtc="2024-10-17T06:15:00Z"/>
        </w:rPr>
      </w:pPr>
      <w:ins w:id="22" w:author="NOKIA-1" w:date="2024-10-07T10:46:00Z" w16du:dateUtc="2024-10-07T05:16:00Z">
        <w:r>
          <w:t xml:space="preserve">The solution requires to implement the computing of the security evaluation per NF in the OSF, and communicate it accordingly to NRF, which translates that evaluation into concrete actions in the procedures, thus enforcing the security policies.   </w:t>
        </w:r>
      </w:ins>
    </w:p>
    <w:p w14:paraId="3D2D945D" w14:textId="1E311EDB" w:rsidR="005633D5" w:rsidRDefault="005633D5" w:rsidP="005633D5">
      <w:pPr>
        <w:pStyle w:val="EditorsNote"/>
        <w:rPr>
          <w:ins w:id="23" w:author="NOKIA-2" w:date="2024-10-17T11:45:00Z" w16du:dateUtc="2024-10-17T06:15:00Z"/>
        </w:rPr>
      </w:pPr>
      <w:ins w:id="24" w:author="NOKIA-2" w:date="2024-10-17T11:45:00Z" w16du:dateUtc="2024-10-17T06:15:00Z">
        <w:r>
          <w:t>Editor’s Note: Further evaluation is FFS.</w:t>
        </w:r>
      </w:ins>
    </w:p>
    <w:p w14:paraId="00B83873" w14:textId="77777777" w:rsidR="005633D5" w:rsidRPr="00EB4128" w:rsidRDefault="005633D5" w:rsidP="009B517C">
      <w:pPr>
        <w:rPr>
          <w:ins w:id="25" w:author="NOKIA-1" w:date="2024-10-07T10:46:00Z" w16du:dateUtc="2024-10-07T05:16:00Z"/>
        </w:rPr>
      </w:pPr>
    </w:p>
    <w:p w14:paraId="6898D8EA" w14:textId="0569D3B3" w:rsidR="00C30167" w:rsidRPr="00EB4128" w:rsidRDefault="00C30167" w:rsidP="004710A4"/>
    <w:sectPr w:rsidR="00C30167" w:rsidRPr="00EB412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8CDDAC" w14:textId="77777777" w:rsidR="00EF4998" w:rsidRDefault="00EF4998">
      <w:r>
        <w:separator/>
      </w:r>
    </w:p>
  </w:endnote>
  <w:endnote w:type="continuationSeparator" w:id="0">
    <w:p w14:paraId="2FEB4110" w14:textId="77777777" w:rsidR="00EF4998" w:rsidRDefault="00EF4998">
      <w:r>
        <w:continuationSeparator/>
      </w:r>
    </w:p>
  </w:endnote>
  <w:endnote w:type="continuationNotice" w:id="1">
    <w:p w14:paraId="7E94DD2B" w14:textId="77777777" w:rsidR="00EF4998" w:rsidRDefault="00EF49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F093D5" w14:textId="77777777" w:rsidR="00EF4998" w:rsidRDefault="00EF4998">
      <w:r>
        <w:separator/>
      </w:r>
    </w:p>
  </w:footnote>
  <w:footnote w:type="continuationSeparator" w:id="0">
    <w:p w14:paraId="096CBDCE" w14:textId="77777777" w:rsidR="00EF4998" w:rsidRDefault="00EF4998">
      <w:r>
        <w:continuationSeparator/>
      </w:r>
    </w:p>
  </w:footnote>
  <w:footnote w:type="continuationNotice" w:id="1">
    <w:p w14:paraId="222641E0" w14:textId="77777777" w:rsidR="00EF4998" w:rsidRDefault="00EF49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2AA331E"/>
    <w:multiLevelType w:val="hybridMultilevel"/>
    <w:tmpl w:val="EB32A23A"/>
    <w:lvl w:ilvl="0" w:tplc="55F2B67A">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525E3569"/>
    <w:multiLevelType w:val="hybridMultilevel"/>
    <w:tmpl w:val="C2327F74"/>
    <w:lvl w:ilvl="0" w:tplc="D400C358">
      <w:start w:val="2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923739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303450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82884735">
    <w:abstractNumId w:val="13"/>
  </w:num>
  <w:num w:numId="4" w16cid:durableId="1888224792">
    <w:abstractNumId w:val="16"/>
  </w:num>
  <w:num w:numId="5" w16cid:durableId="1761635946">
    <w:abstractNumId w:val="15"/>
  </w:num>
  <w:num w:numId="6" w16cid:durableId="408774897">
    <w:abstractNumId w:val="11"/>
  </w:num>
  <w:num w:numId="7" w16cid:durableId="1020937419">
    <w:abstractNumId w:val="12"/>
  </w:num>
  <w:num w:numId="8" w16cid:durableId="1444572833">
    <w:abstractNumId w:val="22"/>
  </w:num>
  <w:num w:numId="9" w16cid:durableId="1870409148">
    <w:abstractNumId w:val="20"/>
  </w:num>
  <w:num w:numId="10" w16cid:durableId="855732251">
    <w:abstractNumId w:val="21"/>
  </w:num>
  <w:num w:numId="11" w16cid:durableId="257954250">
    <w:abstractNumId w:val="14"/>
  </w:num>
  <w:num w:numId="12" w16cid:durableId="344019080">
    <w:abstractNumId w:val="19"/>
  </w:num>
  <w:num w:numId="13" w16cid:durableId="948242251">
    <w:abstractNumId w:val="9"/>
  </w:num>
  <w:num w:numId="14" w16cid:durableId="1861773112">
    <w:abstractNumId w:val="7"/>
  </w:num>
  <w:num w:numId="15" w16cid:durableId="751391161">
    <w:abstractNumId w:val="6"/>
  </w:num>
  <w:num w:numId="16" w16cid:durableId="1965040745">
    <w:abstractNumId w:val="5"/>
  </w:num>
  <w:num w:numId="17" w16cid:durableId="207304129">
    <w:abstractNumId w:val="4"/>
  </w:num>
  <w:num w:numId="18" w16cid:durableId="1786537194">
    <w:abstractNumId w:val="8"/>
  </w:num>
  <w:num w:numId="19" w16cid:durableId="632751316">
    <w:abstractNumId w:val="3"/>
  </w:num>
  <w:num w:numId="20" w16cid:durableId="1709448534">
    <w:abstractNumId w:val="2"/>
  </w:num>
  <w:num w:numId="21" w16cid:durableId="711809117">
    <w:abstractNumId w:val="1"/>
  </w:num>
  <w:num w:numId="22" w16cid:durableId="571505508">
    <w:abstractNumId w:val="0"/>
  </w:num>
  <w:num w:numId="23" w16cid:durableId="1903980964">
    <w:abstractNumId w:val="18"/>
  </w:num>
  <w:num w:numId="24" w16cid:durableId="148558119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1">
    <w15:presenceInfo w15:providerId="None" w15:userId="NOKIA-1"/>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6E7C"/>
    <w:rsid w:val="000413F1"/>
    <w:rsid w:val="00046389"/>
    <w:rsid w:val="00050309"/>
    <w:rsid w:val="000534C5"/>
    <w:rsid w:val="00067A9C"/>
    <w:rsid w:val="00070C4E"/>
    <w:rsid w:val="00071F31"/>
    <w:rsid w:val="00074722"/>
    <w:rsid w:val="000819D8"/>
    <w:rsid w:val="000934A6"/>
    <w:rsid w:val="000A2255"/>
    <w:rsid w:val="000A2C6C"/>
    <w:rsid w:val="000A4660"/>
    <w:rsid w:val="000D1B5B"/>
    <w:rsid w:val="000E0057"/>
    <w:rsid w:val="000F2BA1"/>
    <w:rsid w:val="0010401F"/>
    <w:rsid w:val="001070F4"/>
    <w:rsid w:val="00112DD5"/>
    <w:rsid w:val="00112FC3"/>
    <w:rsid w:val="001348C2"/>
    <w:rsid w:val="00173FA3"/>
    <w:rsid w:val="001842C7"/>
    <w:rsid w:val="00184B6F"/>
    <w:rsid w:val="001861E5"/>
    <w:rsid w:val="0018784F"/>
    <w:rsid w:val="001A7A2A"/>
    <w:rsid w:val="001B1652"/>
    <w:rsid w:val="001C3EC8"/>
    <w:rsid w:val="001D2BD4"/>
    <w:rsid w:val="001D6911"/>
    <w:rsid w:val="001F71C5"/>
    <w:rsid w:val="00201947"/>
    <w:rsid w:val="0020395B"/>
    <w:rsid w:val="002046CB"/>
    <w:rsid w:val="00204DC9"/>
    <w:rsid w:val="002062C0"/>
    <w:rsid w:val="00215130"/>
    <w:rsid w:val="00230002"/>
    <w:rsid w:val="00231480"/>
    <w:rsid w:val="00231F10"/>
    <w:rsid w:val="00244C9A"/>
    <w:rsid w:val="00247216"/>
    <w:rsid w:val="00254D09"/>
    <w:rsid w:val="002720D0"/>
    <w:rsid w:val="00283488"/>
    <w:rsid w:val="002914EF"/>
    <w:rsid w:val="00297CD6"/>
    <w:rsid w:val="002A1857"/>
    <w:rsid w:val="002A1F25"/>
    <w:rsid w:val="002A47A3"/>
    <w:rsid w:val="002B653E"/>
    <w:rsid w:val="002C7F38"/>
    <w:rsid w:val="002E3B06"/>
    <w:rsid w:val="002F6318"/>
    <w:rsid w:val="002F6741"/>
    <w:rsid w:val="00302B3B"/>
    <w:rsid w:val="0030336C"/>
    <w:rsid w:val="0030628A"/>
    <w:rsid w:val="00343D42"/>
    <w:rsid w:val="00344C3B"/>
    <w:rsid w:val="0035122B"/>
    <w:rsid w:val="00353451"/>
    <w:rsid w:val="00363FF1"/>
    <w:rsid w:val="00371032"/>
    <w:rsid w:val="00371B44"/>
    <w:rsid w:val="003875BB"/>
    <w:rsid w:val="0039257F"/>
    <w:rsid w:val="003A1E09"/>
    <w:rsid w:val="003B7A49"/>
    <w:rsid w:val="003C122B"/>
    <w:rsid w:val="003C5A97"/>
    <w:rsid w:val="003C7A04"/>
    <w:rsid w:val="003D40C7"/>
    <w:rsid w:val="003F52B2"/>
    <w:rsid w:val="003F6E74"/>
    <w:rsid w:val="00413068"/>
    <w:rsid w:val="004150AB"/>
    <w:rsid w:val="00440414"/>
    <w:rsid w:val="004558E9"/>
    <w:rsid w:val="0045777E"/>
    <w:rsid w:val="00463512"/>
    <w:rsid w:val="004710A4"/>
    <w:rsid w:val="0047590C"/>
    <w:rsid w:val="004959AC"/>
    <w:rsid w:val="004B0C9C"/>
    <w:rsid w:val="004B3753"/>
    <w:rsid w:val="004C31D2"/>
    <w:rsid w:val="004D55C2"/>
    <w:rsid w:val="004D7A2F"/>
    <w:rsid w:val="004E6BBD"/>
    <w:rsid w:val="004F3275"/>
    <w:rsid w:val="00516CA1"/>
    <w:rsid w:val="00521131"/>
    <w:rsid w:val="00527C0B"/>
    <w:rsid w:val="005410F6"/>
    <w:rsid w:val="005633D5"/>
    <w:rsid w:val="005729C4"/>
    <w:rsid w:val="00575466"/>
    <w:rsid w:val="00580028"/>
    <w:rsid w:val="0059227B"/>
    <w:rsid w:val="00594DA6"/>
    <w:rsid w:val="005A3FA7"/>
    <w:rsid w:val="005B0966"/>
    <w:rsid w:val="005B5920"/>
    <w:rsid w:val="005B795D"/>
    <w:rsid w:val="005D545F"/>
    <w:rsid w:val="005E4005"/>
    <w:rsid w:val="005E4CF5"/>
    <w:rsid w:val="005F6B6B"/>
    <w:rsid w:val="0060514A"/>
    <w:rsid w:val="00613820"/>
    <w:rsid w:val="0064700F"/>
    <w:rsid w:val="00651AAC"/>
    <w:rsid w:val="00652248"/>
    <w:rsid w:val="00657A26"/>
    <w:rsid w:val="00657B80"/>
    <w:rsid w:val="00675B3C"/>
    <w:rsid w:val="00685F4A"/>
    <w:rsid w:val="0069495C"/>
    <w:rsid w:val="006A2FDC"/>
    <w:rsid w:val="006D340A"/>
    <w:rsid w:val="006E791F"/>
    <w:rsid w:val="006E7E07"/>
    <w:rsid w:val="006F1D0F"/>
    <w:rsid w:val="00710757"/>
    <w:rsid w:val="00715A1D"/>
    <w:rsid w:val="0075586E"/>
    <w:rsid w:val="00760BB0"/>
    <w:rsid w:val="0076157A"/>
    <w:rsid w:val="0076644D"/>
    <w:rsid w:val="00784593"/>
    <w:rsid w:val="007A00EF"/>
    <w:rsid w:val="007B19EA"/>
    <w:rsid w:val="007C0A2D"/>
    <w:rsid w:val="007C27B0"/>
    <w:rsid w:val="007E4D72"/>
    <w:rsid w:val="007E537E"/>
    <w:rsid w:val="007F300B"/>
    <w:rsid w:val="008014C3"/>
    <w:rsid w:val="00804D2D"/>
    <w:rsid w:val="00836EB1"/>
    <w:rsid w:val="008415D4"/>
    <w:rsid w:val="00850812"/>
    <w:rsid w:val="00872560"/>
    <w:rsid w:val="00876B9A"/>
    <w:rsid w:val="008841F2"/>
    <w:rsid w:val="00890AEB"/>
    <w:rsid w:val="008933BF"/>
    <w:rsid w:val="008A10C4"/>
    <w:rsid w:val="008B0248"/>
    <w:rsid w:val="008F5F33"/>
    <w:rsid w:val="0091046A"/>
    <w:rsid w:val="00926ABD"/>
    <w:rsid w:val="009271BA"/>
    <w:rsid w:val="00945FDA"/>
    <w:rsid w:val="00946138"/>
    <w:rsid w:val="00947F4E"/>
    <w:rsid w:val="0095511F"/>
    <w:rsid w:val="00955962"/>
    <w:rsid w:val="00960357"/>
    <w:rsid w:val="00966D47"/>
    <w:rsid w:val="00970155"/>
    <w:rsid w:val="00992312"/>
    <w:rsid w:val="00993533"/>
    <w:rsid w:val="009B517C"/>
    <w:rsid w:val="009B53DA"/>
    <w:rsid w:val="009C0DED"/>
    <w:rsid w:val="009E5845"/>
    <w:rsid w:val="00A37D7F"/>
    <w:rsid w:val="00A44AE1"/>
    <w:rsid w:val="00A46410"/>
    <w:rsid w:val="00A57688"/>
    <w:rsid w:val="00A72F1E"/>
    <w:rsid w:val="00A769E7"/>
    <w:rsid w:val="00A84A94"/>
    <w:rsid w:val="00A86BF7"/>
    <w:rsid w:val="00A96B4A"/>
    <w:rsid w:val="00AC4EE3"/>
    <w:rsid w:val="00AD1DAA"/>
    <w:rsid w:val="00AF1E23"/>
    <w:rsid w:val="00AF7F81"/>
    <w:rsid w:val="00B01135"/>
    <w:rsid w:val="00B01AFF"/>
    <w:rsid w:val="00B01C41"/>
    <w:rsid w:val="00B05CC7"/>
    <w:rsid w:val="00B25681"/>
    <w:rsid w:val="00B25E61"/>
    <w:rsid w:val="00B27E39"/>
    <w:rsid w:val="00B350D8"/>
    <w:rsid w:val="00B425AE"/>
    <w:rsid w:val="00B4702A"/>
    <w:rsid w:val="00B50690"/>
    <w:rsid w:val="00B51F81"/>
    <w:rsid w:val="00B7147B"/>
    <w:rsid w:val="00B76763"/>
    <w:rsid w:val="00B7732B"/>
    <w:rsid w:val="00B83566"/>
    <w:rsid w:val="00B85B08"/>
    <w:rsid w:val="00B879F0"/>
    <w:rsid w:val="00B90952"/>
    <w:rsid w:val="00B97555"/>
    <w:rsid w:val="00BB7A9D"/>
    <w:rsid w:val="00BC25AA"/>
    <w:rsid w:val="00BC4280"/>
    <w:rsid w:val="00BC43FF"/>
    <w:rsid w:val="00BE4951"/>
    <w:rsid w:val="00C022E3"/>
    <w:rsid w:val="00C21D09"/>
    <w:rsid w:val="00C30167"/>
    <w:rsid w:val="00C32333"/>
    <w:rsid w:val="00C4712D"/>
    <w:rsid w:val="00C555C9"/>
    <w:rsid w:val="00C66911"/>
    <w:rsid w:val="00C94F55"/>
    <w:rsid w:val="00CA2D9D"/>
    <w:rsid w:val="00CA7D62"/>
    <w:rsid w:val="00CB07A8"/>
    <w:rsid w:val="00CB18FC"/>
    <w:rsid w:val="00CD4A57"/>
    <w:rsid w:val="00CF17DF"/>
    <w:rsid w:val="00CF3A76"/>
    <w:rsid w:val="00CF5B73"/>
    <w:rsid w:val="00D138F3"/>
    <w:rsid w:val="00D321A1"/>
    <w:rsid w:val="00D33604"/>
    <w:rsid w:val="00D37B08"/>
    <w:rsid w:val="00D437FF"/>
    <w:rsid w:val="00D5130C"/>
    <w:rsid w:val="00D62265"/>
    <w:rsid w:val="00D8512E"/>
    <w:rsid w:val="00DA1E58"/>
    <w:rsid w:val="00DB46D6"/>
    <w:rsid w:val="00DB7EFD"/>
    <w:rsid w:val="00DE4EF2"/>
    <w:rsid w:val="00DF2C0E"/>
    <w:rsid w:val="00E04DB6"/>
    <w:rsid w:val="00E06FFB"/>
    <w:rsid w:val="00E1773F"/>
    <w:rsid w:val="00E30155"/>
    <w:rsid w:val="00E91FE1"/>
    <w:rsid w:val="00E97368"/>
    <w:rsid w:val="00EA5E95"/>
    <w:rsid w:val="00EB4128"/>
    <w:rsid w:val="00EC7814"/>
    <w:rsid w:val="00ED4954"/>
    <w:rsid w:val="00EE0943"/>
    <w:rsid w:val="00EE33A2"/>
    <w:rsid w:val="00EE4479"/>
    <w:rsid w:val="00EF4998"/>
    <w:rsid w:val="00F00E37"/>
    <w:rsid w:val="00F23928"/>
    <w:rsid w:val="00F30E84"/>
    <w:rsid w:val="00F67A1C"/>
    <w:rsid w:val="00F82C5B"/>
    <w:rsid w:val="00F8555F"/>
    <w:rsid w:val="00FA3042"/>
    <w:rsid w:val="00FC63AA"/>
    <w:rsid w:val="00FE5A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F5B779"/>
  <w15:chartTrackingRefBased/>
  <w15:docId w15:val="{CF4BA6FA-B6C0-47B7-956B-5833BB1E3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rsid w:val="00EB4128"/>
    <w:rPr>
      <w:rFonts w:ascii="Times New Roman" w:hAnsi="Times New Roman"/>
      <w:color w:val="FF0000"/>
      <w:lang w:eastAsia="en-US"/>
    </w:rPr>
  </w:style>
  <w:style w:type="character" w:customStyle="1" w:styleId="NOZchn">
    <w:name w:val="NO Zchn"/>
    <w:link w:val="NO"/>
    <w:qFormat/>
    <w:rsid w:val="00EB4128"/>
    <w:rPr>
      <w:rFonts w:ascii="Times New Roman" w:hAnsi="Times New Roman"/>
      <w:lang w:eastAsia="en-US"/>
    </w:rPr>
  </w:style>
  <w:style w:type="character" w:customStyle="1" w:styleId="B1Char">
    <w:name w:val="B1 Char"/>
    <w:link w:val="B1"/>
    <w:qFormat/>
    <w:rsid w:val="00EB4128"/>
    <w:rPr>
      <w:rFonts w:ascii="Times New Roman" w:hAnsi="Times New Roman"/>
      <w:lang w:eastAsia="en-US"/>
    </w:rPr>
  </w:style>
  <w:style w:type="paragraph" w:styleId="Revision">
    <w:name w:val="Revision"/>
    <w:hidden/>
    <w:uiPriority w:val="99"/>
    <w:semiHidden/>
    <w:rsid w:val="00EB412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5AIRPNAIUNRU-931754773-5077</_dlc_DocId>
    <_dlc_DocIdUrl xmlns="71c5aaf6-e6ce-465b-b873-5148d2a4c105">
      <Url>https://nokia.sharepoint.com/sites/c5g/security/_layouts/15/DocIdRedir.aspx?ID=5AIRPNAIUNRU-931754773-5077</Url>
      <Description>5AIRPNAIUNRU-931754773-5077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63C4D6B-62C8-4D63-B0C6-A277FD2611EF}">
  <ds:schemaRefs>
    <ds:schemaRef ds:uri="http://schemas.microsoft.com/sharepoint/v3/contenttype/forms"/>
  </ds:schemaRefs>
</ds:datastoreItem>
</file>

<file path=customXml/itemProps2.xml><?xml version="1.0" encoding="utf-8"?>
<ds:datastoreItem xmlns:ds="http://schemas.openxmlformats.org/officeDocument/2006/customXml" ds:itemID="{80F642BB-36D9-470D-9F82-A1876D052ADE}">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3.xml><?xml version="1.0" encoding="utf-8"?>
<ds:datastoreItem xmlns:ds="http://schemas.openxmlformats.org/officeDocument/2006/customXml" ds:itemID="{1C8B55BB-5237-498B-9D10-1B922F584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28E05C-16BD-47F3-8AA4-B826812FB4E1}">
  <ds:schemaRefs>
    <ds:schemaRef ds:uri="Microsoft.SharePoint.Taxonomy.ContentTypeSync"/>
  </ds:schemaRefs>
</ds:datastoreItem>
</file>

<file path=customXml/itemProps5.xml><?xml version="1.0" encoding="utf-8"?>
<ds:datastoreItem xmlns:ds="http://schemas.openxmlformats.org/officeDocument/2006/customXml" ds:itemID="{4BA7D971-A392-4169-AB8C-C7861416149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963</Words>
  <Characters>5495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NOKIA-2</cp:lastModifiedBy>
  <cp:revision>3</cp:revision>
  <cp:lastPrinted>1899-12-31T23:00:00Z</cp:lastPrinted>
  <dcterms:created xsi:type="dcterms:W3CDTF">2024-10-18T03:43:00Z</dcterms:created>
  <dcterms:modified xsi:type="dcterms:W3CDTF">2024-10-18T03:43:00Z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0x010100DA95EA92BC8BC0428C825697CEF0A167</vt:lpwstr>
  </property>
  <property fmtid="{D5CDD505-2E9C-101B-9397-08002B2CF9AE}" pid="4" name="_dlc_DocIdItemGuid">
    <vt:lpwstr>00a67d35-550f-4f81-aae8-c7ed92ff3b8a</vt:lpwstr>
  </property>
  <property fmtid="{D5CDD505-2E9C-101B-9397-08002B2CF9AE}" pid="5" name="MediaServiceImageTags">
    <vt:lpwstr/>
  </property>
</Properties>
</file>