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57375" w14:textId="05838F5A" w:rsidR="00943852" w:rsidRDefault="00943852" w:rsidP="00943852">
      <w:pPr>
        <w:pStyle w:val="CRCoverPage"/>
        <w:tabs>
          <w:tab w:val="right" w:pos="9639"/>
        </w:tabs>
        <w:spacing w:after="0"/>
        <w:rPr>
          <w:b/>
          <w:i/>
          <w:noProof/>
          <w:sz w:val="28"/>
        </w:rPr>
      </w:pPr>
      <w:r>
        <w:rPr>
          <w:b/>
          <w:noProof/>
          <w:sz w:val="24"/>
        </w:rPr>
        <w:t>3GPP TSG-SA3 Meeting #108e-AdHoc</w:t>
      </w:r>
      <w:r>
        <w:rPr>
          <w:b/>
          <w:i/>
          <w:noProof/>
          <w:sz w:val="24"/>
        </w:rPr>
        <w:t xml:space="preserve"> </w:t>
      </w:r>
      <w:r>
        <w:rPr>
          <w:b/>
          <w:i/>
          <w:noProof/>
          <w:sz w:val="28"/>
        </w:rPr>
        <w:tab/>
      </w:r>
      <w:ins w:id="0" w:author="Ericsson3" w:date="2022-10-14T08:31:00Z">
        <w:r w:rsidR="00795172">
          <w:rPr>
            <w:b/>
            <w:i/>
            <w:noProof/>
            <w:sz w:val="28"/>
          </w:rPr>
          <w:t>draft_</w:t>
        </w:r>
      </w:ins>
      <w:r>
        <w:rPr>
          <w:b/>
          <w:i/>
          <w:noProof/>
          <w:sz w:val="28"/>
        </w:rPr>
        <w:t>S3-22</w:t>
      </w:r>
      <w:r w:rsidR="00900596">
        <w:rPr>
          <w:b/>
          <w:i/>
          <w:noProof/>
          <w:sz w:val="28"/>
        </w:rPr>
        <w:t>2797</w:t>
      </w:r>
      <w:ins w:id="1" w:author="Ericsson3" w:date="2022-10-14T08:31:00Z">
        <w:r w:rsidR="00795172">
          <w:rPr>
            <w:b/>
            <w:i/>
            <w:noProof/>
            <w:sz w:val="28"/>
          </w:rPr>
          <w:t>-r1</w:t>
        </w:r>
      </w:ins>
    </w:p>
    <w:p w14:paraId="1ECB1BA2" w14:textId="77777777" w:rsidR="00943852" w:rsidRPr="00891986" w:rsidRDefault="00943852" w:rsidP="00943852">
      <w:pPr>
        <w:pStyle w:val="CRCoverPage"/>
        <w:outlineLvl w:val="0"/>
        <w:rPr>
          <w:b/>
          <w:bCs/>
          <w:noProof/>
          <w:sz w:val="24"/>
        </w:rPr>
      </w:pPr>
      <w:r w:rsidRPr="00891986">
        <w:rPr>
          <w:b/>
          <w:bCs/>
          <w:sz w:val="24"/>
        </w:rPr>
        <w:t>e-meeting, 10 - 14 October 2022</w:t>
      </w:r>
    </w:p>
    <w:p w14:paraId="2142E497" w14:textId="77777777" w:rsidR="00E75EF5" w:rsidRDefault="00E75EF5">
      <w:pPr>
        <w:keepNext/>
        <w:pBdr>
          <w:bottom w:val="single" w:sz="4" w:space="1" w:color="auto"/>
        </w:pBdr>
        <w:tabs>
          <w:tab w:val="right" w:pos="9639"/>
        </w:tabs>
        <w:outlineLvl w:val="0"/>
        <w:rPr>
          <w:rFonts w:ascii="Arial" w:hAnsi="Arial" w:cs="Arial"/>
          <w:b/>
          <w:sz w:val="24"/>
        </w:rPr>
      </w:pPr>
    </w:p>
    <w:p w14:paraId="1E48305A" w14:textId="77777777" w:rsidR="00E75EF5" w:rsidRDefault="00E75EF5">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sidR="0075474E">
        <w:rPr>
          <w:rFonts w:ascii="Arial" w:hAnsi="Arial"/>
          <w:b/>
          <w:lang w:val="en-US"/>
        </w:rPr>
        <w:t>Ericsson</w:t>
      </w:r>
    </w:p>
    <w:p w14:paraId="5273A8B6" w14:textId="2045952D" w:rsidR="00E75EF5" w:rsidRPr="0040423B" w:rsidRDefault="00E75EF5">
      <w:pPr>
        <w:keepNext/>
        <w:tabs>
          <w:tab w:val="left" w:pos="2127"/>
        </w:tabs>
        <w:spacing w:after="0"/>
        <w:ind w:left="2126" w:hanging="2126"/>
        <w:outlineLvl w:val="0"/>
        <w:rPr>
          <w:rFonts w:ascii="Arial" w:hAnsi="Arial" w:cs="Arial"/>
          <w:b/>
          <w:lang w:val="en-US" w:eastAsia="zh-CN"/>
        </w:rPr>
      </w:pPr>
      <w:r>
        <w:rPr>
          <w:rFonts w:ascii="Arial" w:hAnsi="Arial" w:cs="Arial"/>
          <w:b/>
        </w:rPr>
        <w:t>Title:</w:t>
      </w:r>
      <w:r>
        <w:rPr>
          <w:rFonts w:ascii="Arial" w:hAnsi="Arial" w:cs="Arial"/>
          <w:b/>
        </w:rPr>
        <w:tab/>
      </w:r>
      <w:r w:rsidR="00F4433C">
        <w:rPr>
          <w:rFonts w:ascii="Arial" w:hAnsi="Arial" w:cs="Arial"/>
          <w:b/>
          <w:lang w:val="en-US" w:eastAsia="zh-CN"/>
        </w:rPr>
        <w:t xml:space="preserve">Resolve </w:t>
      </w:r>
      <w:bookmarkStart w:id="2" w:name="_Hlk114317650"/>
      <w:r w:rsidR="00F4433C">
        <w:rPr>
          <w:rFonts w:ascii="Arial" w:hAnsi="Arial" w:cs="Arial"/>
          <w:b/>
          <w:lang w:val="en-US" w:eastAsia="zh-CN"/>
        </w:rPr>
        <w:t>EN</w:t>
      </w:r>
      <w:r w:rsidR="00502091">
        <w:rPr>
          <w:rFonts w:ascii="Arial" w:hAnsi="Arial" w:cs="Arial"/>
          <w:b/>
          <w:lang w:val="en-US" w:eastAsia="zh-CN"/>
        </w:rPr>
        <w:t xml:space="preserve"> for protection </w:t>
      </w:r>
      <w:r w:rsidR="007A1A13">
        <w:rPr>
          <w:rFonts w:ascii="Arial" w:hAnsi="Arial" w:cs="Arial"/>
          <w:b/>
          <w:lang w:val="en-US" w:eastAsia="zh-CN"/>
        </w:rPr>
        <w:t xml:space="preserve">of DCR </w:t>
      </w:r>
      <w:bookmarkEnd w:id="2"/>
      <w:r w:rsidR="00502091">
        <w:rPr>
          <w:rFonts w:ascii="Arial" w:hAnsi="Arial" w:cs="Arial"/>
          <w:b/>
          <w:lang w:val="en-US" w:eastAsia="zh-CN"/>
        </w:rPr>
        <w:t>in</w:t>
      </w:r>
      <w:r w:rsidR="00F4433C">
        <w:rPr>
          <w:rFonts w:ascii="Arial" w:hAnsi="Arial" w:cs="Arial"/>
          <w:b/>
          <w:lang w:val="en-US" w:eastAsia="zh-CN"/>
        </w:rPr>
        <w:t xml:space="preserve"> Solution</w:t>
      </w:r>
      <w:r w:rsidR="00214C9E">
        <w:rPr>
          <w:rFonts w:ascii="Arial" w:hAnsi="Arial" w:cs="Arial"/>
          <w:b/>
          <w:lang w:val="en-US" w:eastAsia="zh-CN"/>
        </w:rPr>
        <w:t>4</w:t>
      </w:r>
    </w:p>
    <w:p w14:paraId="3A1C3AEA" w14:textId="77777777" w:rsidR="00E75EF5" w:rsidRDefault="00E75EF5">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680CF2F4" w14:textId="08EB11AD" w:rsidR="00E75EF5" w:rsidRDefault="00E75EF5">
      <w:pPr>
        <w:keepNext/>
        <w:pBdr>
          <w:bottom w:val="single" w:sz="4" w:space="1" w:color="auto"/>
        </w:pBdr>
        <w:tabs>
          <w:tab w:val="left" w:pos="2127"/>
        </w:tabs>
        <w:spacing w:after="0"/>
        <w:ind w:left="2126" w:hanging="2126"/>
        <w:rPr>
          <w:rFonts w:ascii="Arial" w:hAnsi="Arial"/>
          <w:b/>
          <w:lang w:val="en-US" w:eastAsia="zh-CN"/>
        </w:rPr>
      </w:pPr>
      <w:r>
        <w:rPr>
          <w:rFonts w:ascii="Arial" w:hAnsi="Arial"/>
          <w:b/>
        </w:rPr>
        <w:t>Agenda Item:</w:t>
      </w:r>
      <w:r>
        <w:rPr>
          <w:rFonts w:ascii="Arial" w:hAnsi="Arial"/>
          <w:b/>
        </w:rPr>
        <w:tab/>
      </w:r>
      <w:r w:rsidR="00C303B7">
        <w:rPr>
          <w:rFonts w:ascii="Arial" w:hAnsi="Arial"/>
          <w:b/>
          <w:lang w:val="en-US" w:eastAsia="zh-CN"/>
        </w:rPr>
        <w:t>5.3</w:t>
      </w:r>
    </w:p>
    <w:p w14:paraId="53D17393" w14:textId="77777777" w:rsidR="00E75EF5" w:rsidRDefault="00E75EF5">
      <w:pPr>
        <w:pStyle w:val="Heading1"/>
      </w:pPr>
      <w:r>
        <w:t>1</w:t>
      </w:r>
      <w:r>
        <w:tab/>
        <w:t>Decision/action requested</w:t>
      </w:r>
    </w:p>
    <w:p w14:paraId="254BAEB0" w14:textId="127CE927" w:rsidR="00E75EF5" w:rsidRDefault="00E75EF5">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rFonts w:hint="eastAsia"/>
          <w:b/>
          <w:i/>
          <w:lang w:eastAsia="zh-CN"/>
        </w:rPr>
        <w:t xml:space="preserve">This document proposes to </w:t>
      </w:r>
      <w:r w:rsidR="00F4433C">
        <w:rPr>
          <w:b/>
          <w:i/>
          <w:lang w:eastAsia="zh-CN"/>
        </w:rPr>
        <w:t xml:space="preserve">resolve </w:t>
      </w:r>
      <w:r w:rsidR="007A1A13" w:rsidRPr="007A1A13">
        <w:rPr>
          <w:b/>
          <w:i/>
          <w:lang w:eastAsia="zh-CN"/>
        </w:rPr>
        <w:t xml:space="preserve">ENs for protection of DCR </w:t>
      </w:r>
      <w:r w:rsidR="00502091" w:rsidRPr="00502091">
        <w:rPr>
          <w:b/>
          <w:i/>
          <w:lang w:eastAsia="zh-CN"/>
        </w:rPr>
        <w:t xml:space="preserve">in </w:t>
      </w:r>
      <w:r w:rsidR="00F4433C">
        <w:rPr>
          <w:b/>
          <w:i/>
          <w:lang w:eastAsia="zh-CN"/>
        </w:rPr>
        <w:t>solution</w:t>
      </w:r>
      <w:r w:rsidR="00214C9E">
        <w:rPr>
          <w:b/>
          <w:i/>
          <w:lang w:eastAsia="zh-CN"/>
        </w:rPr>
        <w:t>4</w:t>
      </w:r>
      <w:r>
        <w:rPr>
          <w:b/>
          <w:i/>
        </w:rPr>
        <w:t>.</w:t>
      </w:r>
    </w:p>
    <w:p w14:paraId="63795912" w14:textId="77777777" w:rsidR="00E75EF5" w:rsidRDefault="00E75EF5">
      <w:pPr>
        <w:pStyle w:val="Heading1"/>
      </w:pPr>
      <w:r>
        <w:t>2</w:t>
      </w:r>
      <w:r>
        <w:tab/>
        <w:t>References</w:t>
      </w:r>
    </w:p>
    <w:p w14:paraId="415AFE27" w14:textId="77777777" w:rsidR="00E75EF5" w:rsidRDefault="00E75EF5">
      <w:pPr>
        <w:pStyle w:val="Reference"/>
        <w:rPr>
          <w:lang w:val="en-US" w:eastAsia="zh-CN"/>
        </w:rPr>
      </w:pPr>
      <w:r>
        <w:t>[1]</w:t>
      </w:r>
      <w:r>
        <w:rPr>
          <w:color w:val="FF0000"/>
        </w:rPr>
        <w:tab/>
      </w:r>
      <w:r>
        <w:rPr>
          <w:rFonts w:hint="eastAsia"/>
          <w:lang w:val="en-US" w:eastAsia="zh-CN"/>
        </w:rPr>
        <w:t>3GPP T</w:t>
      </w:r>
      <w:r w:rsidR="00D51EB8">
        <w:rPr>
          <w:lang w:val="en-US" w:eastAsia="zh-CN"/>
        </w:rPr>
        <w:t>R</w:t>
      </w:r>
      <w:r>
        <w:rPr>
          <w:rFonts w:hint="eastAsia"/>
          <w:lang w:val="en-US" w:eastAsia="zh-CN"/>
        </w:rPr>
        <w:t xml:space="preserve"> </w:t>
      </w:r>
      <w:r w:rsidR="0075474E">
        <w:rPr>
          <w:lang w:val="en-US" w:eastAsia="zh-CN"/>
        </w:rPr>
        <w:t>23.700-33</w:t>
      </w:r>
    </w:p>
    <w:p w14:paraId="5AD4E63F" w14:textId="77777777" w:rsidR="00A17600" w:rsidRDefault="00A17600">
      <w:pPr>
        <w:pStyle w:val="Reference"/>
        <w:rPr>
          <w:lang w:val="en-US" w:eastAsia="zh-CN"/>
        </w:rPr>
      </w:pPr>
      <w:r>
        <w:rPr>
          <w:lang w:val="en-US" w:eastAsia="zh-CN"/>
        </w:rPr>
        <w:t>[2]</w:t>
      </w:r>
      <w:r>
        <w:rPr>
          <w:lang w:val="en-US" w:eastAsia="zh-CN"/>
        </w:rPr>
        <w:tab/>
        <w:t>3GPP TR 33.</w:t>
      </w:r>
      <w:r w:rsidR="00CA5377">
        <w:rPr>
          <w:lang w:val="en-US" w:eastAsia="zh-CN"/>
        </w:rPr>
        <w:t>740</w:t>
      </w:r>
    </w:p>
    <w:p w14:paraId="3491F50D" w14:textId="77777777" w:rsidR="00E75EF5" w:rsidRDefault="00E75EF5">
      <w:pPr>
        <w:pStyle w:val="Heading1"/>
      </w:pPr>
      <w:r>
        <w:t>3</w:t>
      </w:r>
      <w:r>
        <w:tab/>
        <w:t>Rationale</w:t>
      </w:r>
    </w:p>
    <w:p w14:paraId="5E72B85B" w14:textId="62D25683" w:rsidR="00E75EF5" w:rsidRDefault="00E75EF5">
      <w:pPr>
        <w:jc w:val="both"/>
        <w:rPr>
          <w:lang w:val="en-US" w:eastAsia="zh-CN"/>
        </w:rPr>
      </w:pPr>
      <w:r>
        <w:rPr>
          <w:lang w:eastAsia="zh-CN"/>
        </w:rPr>
        <w:t xml:space="preserve">This contribution proposes </w:t>
      </w:r>
      <w:r w:rsidR="00F4433C">
        <w:rPr>
          <w:lang w:eastAsia="zh-CN"/>
        </w:rPr>
        <w:t>to resolve the following EN</w:t>
      </w:r>
      <w:r w:rsidR="00251F8C">
        <w:rPr>
          <w:lang w:eastAsia="zh-CN"/>
        </w:rPr>
        <w:t>s</w:t>
      </w:r>
      <w:r w:rsidR="00F4433C">
        <w:rPr>
          <w:lang w:eastAsia="zh-CN"/>
        </w:rPr>
        <w:t xml:space="preserve"> in </w:t>
      </w:r>
      <w:r w:rsidR="00214C9E" w:rsidRPr="00214C9E">
        <w:rPr>
          <w:lang w:eastAsia="zh-CN"/>
        </w:rPr>
        <w:t>Solution #4: PC5 security establishment when L3 UE-to-UE relay is out of coverage</w:t>
      </w:r>
      <w:r w:rsidRPr="00964703">
        <w:rPr>
          <w:rFonts w:hint="eastAsia"/>
          <w:lang w:val="en-US" w:eastAsia="zh-CN"/>
        </w:rPr>
        <w:t xml:space="preserve">. </w:t>
      </w:r>
    </w:p>
    <w:p w14:paraId="7EF460AA" w14:textId="77777777" w:rsidR="003D665C" w:rsidRDefault="003D665C" w:rsidP="003D665C">
      <w:pPr>
        <w:pStyle w:val="EditorsNote"/>
        <w:numPr>
          <w:ilvl w:val="0"/>
          <w:numId w:val="5"/>
        </w:numPr>
      </w:pPr>
      <w:r w:rsidRPr="00C13BC2">
        <w:t>Editor’s Note: Its FFS whether the included parameters in Direct Communication Request message in step 2 can be protected by the discovery keys similar as to the Direct Communication Request message when establishing a secure PC5 link in between Remote UE and UE-to-network relay.</w:t>
      </w:r>
    </w:p>
    <w:p w14:paraId="0D0BCA66" w14:textId="77777777" w:rsidR="00626C1D" w:rsidRDefault="00626C1D" w:rsidP="00626C1D">
      <w:pPr>
        <w:jc w:val="both"/>
        <w:rPr>
          <w:lang w:eastAsia="zh-CN"/>
        </w:rPr>
      </w:pPr>
      <w:r>
        <w:rPr>
          <w:lang w:eastAsia="zh-CN"/>
        </w:rPr>
        <w:t xml:space="preserve">Clause 6.3.5 of TS 33.503 </w:t>
      </w:r>
      <w:r w:rsidRPr="005B29E9">
        <w:rPr>
          <w:lang w:eastAsia="zh-CN"/>
        </w:rPr>
        <w:t xml:space="preserve">describes the mechanism to protect the privacy of </w:t>
      </w:r>
      <w:r>
        <w:rPr>
          <w:lang w:eastAsia="zh-CN"/>
        </w:rPr>
        <w:t xml:space="preserve">information sent over </w:t>
      </w:r>
      <w:r w:rsidRPr="005B29E9">
        <w:rPr>
          <w:lang w:eastAsia="zh-CN"/>
        </w:rPr>
        <w:t xml:space="preserve">Direct Communication Request message </w:t>
      </w:r>
      <w:r>
        <w:rPr>
          <w:lang w:eastAsia="zh-CN"/>
        </w:rPr>
        <w:t xml:space="preserve">based on the </w:t>
      </w:r>
      <w:r w:rsidRPr="005B29E9">
        <w:rPr>
          <w:lang w:eastAsia="zh-CN"/>
        </w:rPr>
        <w:t>security parameters used for discovery</w:t>
      </w:r>
      <w:r>
        <w:rPr>
          <w:lang w:eastAsia="zh-CN"/>
        </w:rPr>
        <w:t>.</w:t>
      </w:r>
    </w:p>
    <w:p w14:paraId="6691DCE6" w14:textId="6791C67F" w:rsidR="00626C1D" w:rsidRDefault="00626C1D" w:rsidP="00626C1D">
      <w:pPr>
        <w:jc w:val="both"/>
      </w:pPr>
      <w:r>
        <w:rPr>
          <w:lang w:eastAsia="zh-CN"/>
        </w:rPr>
        <w:t>It is proposed that the same protection as</w:t>
      </w:r>
      <w:r w:rsidRPr="004240FE">
        <w:rPr>
          <w:lang w:eastAsia="zh-CN"/>
        </w:rPr>
        <w:t xml:space="preserve"> described in TS 33.503 </w:t>
      </w:r>
      <w:r>
        <w:rPr>
          <w:lang w:eastAsia="zh-CN"/>
        </w:rPr>
        <w:t>can be applied for UE-to-UE Relay case.</w:t>
      </w:r>
    </w:p>
    <w:p w14:paraId="5E0FA3A5" w14:textId="77777777" w:rsidR="00214C9E" w:rsidRPr="00C13C9B" w:rsidRDefault="00214C9E" w:rsidP="00214C9E">
      <w:pPr>
        <w:pStyle w:val="EditorsNote"/>
        <w:numPr>
          <w:ilvl w:val="0"/>
          <w:numId w:val="5"/>
        </w:numPr>
      </w:pPr>
      <w:r w:rsidRPr="00C13C9B">
        <w:t>Editor’s Note: Its FFS how token freshness is guaranteed as any peer UE can replay the token (since sent in the clear in DCR).</w:t>
      </w:r>
    </w:p>
    <w:p w14:paraId="6353F6D1" w14:textId="0769C3CA" w:rsidR="0045146D" w:rsidRPr="006155BC" w:rsidRDefault="009B3B06" w:rsidP="0045146D">
      <w:pPr>
        <w:jc w:val="both"/>
        <w:rPr>
          <w:lang w:eastAsia="zh-CN"/>
        </w:rPr>
      </w:pPr>
      <w:r w:rsidRPr="006155BC">
        <w:rPr>
          <w:lang w:eastAsia="zh-CN"/>
        </w:rPr>
        <w:t xml:space="preserve">It is our view that token is short lived and </w:t>
      </w:r>
      <w:r w:rsidR="00A42460" w:rsidRPr="006155BC">
        <w:rPr>
          <w:lang w:eastAsia="zh-CN"/>
        </w:rPr>
        <w:t xml:space="preserve">can </w:t>
      </w:r>
      <w:r w:rsidRPr="006155BC">
        <w:rPr>
          <w:lang w:eastAsia="zh-CN"/>
        </w:rPr>
        <w:t xml:space="preserve">contain </w:t>
      </w:r>
      <w:r w:rsidR="007F22CD" w:rsidRPr="006155BC">
        <w:rPr>
          <w:rFonts w:cs="Arial"/>
          <w:szCs w:val="18"/>
        </w:rPr>
        <w:t xml:space="preserve">expiration </w:t>
      </w:r>
      <w:r w:rsidRPr="006155BC">
        <w:rPr>
          <w:lang w:eastAsia="zh-CN"/>
        </w:rPr>
        <w:t xml:space="preserve">time </w:t>
      </w:r>
      <w:r w:rsidR="007F22CD" w:rsidRPr="006155BC">
        <w:rPr>
          <w:lang w:eastAsia="zh-CN"/>
        </w:rPr>
        <w:t>which is</w:t>
      </w:r>
      <w:r w:rsidRPr="006155BC">
        <w:rPr>
          <w:lang w:eastAsia="zh-CN"/>
        </w:rPr>
        <w:t xml:space="preserve"> assigned by the network. Therefore, token freshness </w:t>
      </w:r>
      <w:r w:rsidR="00A42460" w:rsidRPr="006155BC">
        <w:rPr>
          <w:lang w:eastAsia="zh-CN"/>
        </w:rPr>
        <w:t>has been taken care.</w:t>
      </w:r>
    </w:p>
    <w:p w14:paraId="1C286404" w14:textId="6A14CA21" w:rsidR="007B4849" w:rsidRPr="006155BC" w:rsidRDefault="007B4849" w:rsidP="0045146D">
      <w:pPr>
        <w:jc w:val="both"/>
        <w:rPr>
          <w:lang w:eastAsia="zh-CN"/>
        </w:rPr>
      </w:pPr>
      <w:r w:rsidRPr="006155BC">
        <w:rPr>
          <w:lang w:eastAsia="zh-CN"/>
        </w:rPr>
        <w:t xml:space="preserve">The risk of token </w:t>
      </w:r>
      <w:r w:rsidR="006534EE" w:rsidRPr="006155BC">
        <w:rPr>
          <w:lang w:eastAsia="zh-CN"/>
        </w:rPr>
        <w:t>being sent clear in DCR thus intercep</w:t>
      </w:r>
      <w:r w:rsidR="00226DAE" w:rsidRPr="006155BC">
        <w:rPr>
          <w:lang w:eastAsia="zh-CN"/>
        </w:rPr>
        <w:t xml:space="preserve">ted and replayed by any other peer UE can be mitigated by, either </w:t>
      </w:r>
      <w:r w:rsidR="00A85B71" w:rsidRPr="006155BC">
        <w:rPr>
          <w:lang w:eastAsia="zh-CN"/>
        </w:rPr>
        <w:t xml:space="preserve">reusing </w:t>
      </w:r>
      <w:r w:rsidR="00226DAE" w:rsidRPr="006155BC">
        <w:rPr>
          <w:lang w:eastAsia="zh-CN"/>
        </w:rPr>
        <w:t xml:space="preserve">the similar </w:t>
      </w:r>
      <w:r w:rsidR="00A85B71" w:rsidRPr="006155BC">
        <w:rPr>
          <w:lang w:eastAsia="zh-CN"/>
        </w:rPr>
        <w:t xml:space="preserve">DCR privacy </w:t>
      </w:r>
      <w:r w:rsidR="005740C5" w:rsidRPr="006155BC">
        <w:rPr>
          <w:lang w:eastAsia="zh-CN"/>
        </w:rPr>
        <w:t xml:space="preserve">protection </w:t>
      </w:r>
      <w:r w:rsidR="00D71182" w:rsidRPr="006155BC">
        <w:rPr>
          <w:lang w:eastAsia="zh-CN"/>
        </w:rPr>
        <w:t>of</w:t>
      </w:r>
      <w:r w:rsidR="008C40EF" w:rsidRPr="006155BC">
        <w:rPr>
          <w:lang w:eastAsia="zh-CN"/>
        </w:rPr>
        <w:t xml:space="preserve"> UE-to</w:t>
      </w:r>
      <w:r w:rsidR="00274467" w:rsidRPr="006155BC">
        <w:rPr>
          <w:lang w:eastAsia="zh-CN"/>
        </w:rPr>
        <w:t xml:space="preserve">-Network </w:t>
      </w:r>
      <w:r w:rsidR="00F210B7" w:rsidRPr="006155BC">
        <w:rPr>
          <w:lang w:eastAsia="zh-CN"/>
        </w:rPr>
        <w:t xml:space="preserve">relay </w:t>
      </w:r>
      <w:r w:rsidR="00274467" w:rsidRPr="006155BC">
        <w:rPr>
          <w:lang w:eastAsia="zh-CN"/>
        </w:rPr>
        <w:t xml:space="preserve">case </w:t>
      </w:r>
      <w:r w:rsidR="005740C5" w:rsidRPr="006155BC">
        <w:rPr>
          <w:lang w:eastAsia="zh-CN"/>
        </w:rPr>
        <w:t xml:space="preserve">by encrypting the token or </w:t>
      </w:r>
      <w:r w:rsidR="006C4BF2" w:rsidRPr="006155BC">
        <w:rPr>
          <w:lang w:eastAsia="zh-CN"/>
        </w:rPr>
        <w:t>mov</w:t>
      </w:r>
      <w:r w:rsidR="00BC2235" w:rsidRPr="006155BC">
        <w:rPr>
          <w:lang w:eastAsia="zh-CN"/>
        </w:rPr>
        <w:t xml:space="preserve">ing </w:t>
      </w:r>
      <w:r w:rsidR="006C4BF2" w:rsidRPr="006155BC">
        <w:rPr>
          <w:lang w:eastAsia="zh-CN"/>
        </w:rPr>
        <w:t>the token exchange</w:t>
      </w:r>
      <w:r w:rsidR="007B097C" w:rsidRPr="006155BC">
        <w:rPr>
          <w:lang w:eastAsia="zh-CN"/>
        </w:rPr>
        <w:t xml:space="preserve"> procedure until</w:t>
      </w:r>
      <w:r w:rsidR="006C4BF2" w:rsidRPr="006155BC">
        <w:rPr>
          <w:lang w:eastAsia="zh-CN"/>
        </w:rPr>
        <w:t xml:space="preserve"> Direct Security Mode Complete</w:t>
      </w:r>
      <w:r w:rsidR="005740C5" w:rsidRPr="006155BC">
        <w:rPr>
          <w:lang w:eastAsia="zh-CN"/>
        </w:rPr>
        <w:t xml:space="preserve"> </w:t>
      </w:r>
      <w:r w:rsidR="002E5D55" w:rsidRPr="006155BC">
        <w:rPr>
          <w:lang w:eastAsia="zh-CN"/>
        </w:rPr>
        <w:t>thus the token exchange is protected by the established security context.</w:t>
      </w:r>
    </w:p>
    <w:p w14:paraId="3887F44D" w14:textId="11009F10" w:rsidR="002D2235" w:rsidRPr="006155BC" w:rsidRDefault="00EE7BF0">
      <w:pPr>
        <w:jc w:val="both"/>
        <w:rPr>
          <w:lang w:eastAsia="zh-CN"/>
        </w:rPr>
      </w:pPr>
      <w:r w:rsidRPr="006155BC">
        <w:rPr>
          <w:lang w:eastAsia="zh-CN"/>
        </w:rPr>
        <w:t xml:space="preserve">In our view, both methods are feasible. </w:t>
      </w:r>
      <w:r w:rsidR="00270228" w:rsidRPr="006155BC">
        <w:rPr>
          <w:lang w:eastAsia="zh-CN"/>
        </w:rPr>
        <w:t>M</w:t>
      </w:r>
      <w:r w:rsidR="00BD76F1" w:rsidRPr="006155BC">
        <w:rPr>
          <w:lang w:eastAsia="zh-CN"/>
        </w:rPr>
        <w:t xml:space="preserve">essage-specific confidentiality has been supported in UE-to-Network relay case, and the </w:t>
      </w:r>
      <w:r w:rsidR="00DE1793" w:rsidRPr="006155BC">
        <w:t>k</w:t>
      </w:r>
      <w:r w:rsidR="0045146D" w:rsidRPr="006155BC">
        <w:rPr>
          <w:lang w:eastAsia="zh-CN"/>
        </w:rPr>
        <w:t>eystream</w:t>
      </w:r>
      <w:r w:rsidR="00F27C85" w:rsidRPr="006155BC">
        <w:rPr>
          <w:lang w:eastAsia="zh-CN"/>
        </w:rPr>
        <w:t>s</w:t>
      </w:r>
      <w:r w:rsidR="0045146D" w:rsidRPr="006155BC">
        <w:rPr>
          <w:lang w:eastAsia="zh-CN"/>
        </w:rPr>
        <w:t xml:space="preserve"> </w:t>
      </w:r>
      <w:r w:rsidR="00DE1793" w:rsidRPr="006155BC">
        <w:rPr>
          <w:lang w:eastAsia="zh-CN"/>
        </w:rPr>
        <w:t>ar</w:t>
      </w:r>
      <w:r w:rsidR="00E825F8" w:rsidRPr="006155BC">
        <w:rPr>
          <w:lang w:eastAsia="zh-CN"/>
        </w:rPr>
        <w:t>e bound to UTC time counter</w:t>
      </w:r>
      <w:r w:rsidR="007A1263" w:rsidRPr="006155BC">
        <w:rPr>
          <w:lang w:eastAsia="zh-CN"/>
        </w:rPr>
        <w:t xml:space="preserve">. </w:t>
      </w:r>
      <w:r w:rsidR="0009647F" w:rsidRPr="006155BC">
        <w:rPr>
          <w:lang w:eastAsia="zh-CN"/>
        </w:rPr>
        <w:t xml:space="preserve">It is sufficient to mitigate replay attack by applying </w:t>
      </w:r>
      <w:r w:rsidR="00D5124E" w:rsidRPr="006155BC">
        <w:rPr>
          <w:lang w:eastAsia="zh-CN"/>
        </w:rPr>
        <w:t xml:space="preserve">a </w:t>
      </w:r>
      <w:r w:rsidR="00B6491E" w:rsidRPr="006155BC">
        <w:rPr>
          <w:lang w:eastAsia="zh-CN"/>
        </w:rPr>
        <w:t>similar</w:t>
      </w:r>
      <w:r w:rsidR="00E825F8" w:rsidRPr="006155BC">
        <w:rPr>
          <w:lang w:eastAsia="zh-CN"/>
        </w:rPr>
        <w:t xml:space="preserve"> keystream to protect the token</w:t>
      </w:r>
      <w:r w:rsidR="00D24524" w:rsidRPr="006155BC">
        <w:rPr>
          <w:lang w:eastAsia="zh-CN"/>
        </w:rPr>
        <w:t xml:space="preserve"> in the DCR</w:t>
      </w:r>
      <w:r w:rsidR="00E825F8" w:rsidRPr="006155BC">
        <w:rPr>
          <w:lang w:eastAsia="zh-CN"/>
        </w:rPr>
        <w:t xml:space="preserve">. </w:t>
      </w:r>
    </w:p>
    <w:p w14:paraId="4314619A" w14:textId="6D3B5E6A" w:rsidR="00F4433C" w:rsidRPr="00F4433C" w:rsidRDefault="002D2235">
      <w:pPr>
        <w:jc w:val="both"/>
        <w:rPr>
          <w:lang w:eastAsia="zh-CN"/>
        </w:rPr>
      </w:pPr>
      <w:r w:rsidRPr="006155BC">
        <w:rPr>
          <w:lang w:eastAsia="zh-CN"/>
        </w:rPr>
        <w:t xml:space="preserve">It is proposed that </w:t>
      </w:r>
      <w:r w:rsidR="0093351D" w:rsidRPr="006155BC">
        <w:rPr>
          <w:lang w:eastAsia="zh-CN"/>
        </w:rPr>
        <w:t xml:space="preserve">token in DCR is protected </w:t>
      </w:r>
      <w:r w:rsidR="00433E73" w:rsidRPr="006155BC">
        <w:rPr>
          <w:lang w:eastAsia="zh-CN"/>
        </w:rPr>
        <w:t xml:space="preserve">by keystream </w:t>
      </w:r>
      <w:r w:rsidR="00B74871" w:rsidRPr="006155BC">
        <w:rPr>
          <w:lang w:eastAsia="zh-CN"/>
        </w:rPr>
        <w:t xml:space="preserve">similarly as </w:t>
      </w:r>
      <w:r w:rsidR="00433E73" w:rsidRPr="006155BC">
        <w:rPr>
          <w:lang w:eastAsia="zh-CN"/>
        </w:rPr>
        <w:t>UE-to-Network relay case</w:t>
      </w:r>
      <w:r w:rsidR="00802212" w:rsidRPr="006155BC">
        <w:rPr>
          <w:lang w:eastAsia="zh-CN"/>
        </w:rPr>
        <w:t xml:space="preserve">. </w:t>
      </w:r>
      <w:r w:rsidR="00C5689B" w:rsidRPr="006155BC">
        <w:rPr>
          <w:lang w:eastAsia="zh-CN"/>
        </w:rPr>
        <w:t xml:space="preserve">Calculation of keystream </w:t>
      </w:r>
      <w:r w:rsidR="00B6491E" w:rsidRPr="006155BC">
        <w:rPr>
          <w:lang w:eastAsia="zh-CN"/>
        </w:rPr>
        <w:t xml:space="preserve">for token protection for </w:t>
      </w:r>
      <w:r w:rsidR="00626C1D" w:rsidRPr="006155BC">
        <w:rPr>
          <w:lang w:eastAsia="zh-CN"/>
        </w:rPr>
        <w:t xml:space="preserve">UE-to-UE relay </w:t>
      </w:r>
      <w:r w:rsidR="00C5689B" w:rsidRPr="006155BC">
        <w:rPr>
          <w:lang w:eastAsia="zh-CN"/>
        </w:rPr>
        <w:t>can be decided in Normative work.</w:t>
      </w:r>
    </w:p>
    <w:p w14:paraId="72176395" w14:textId="77777777" w:rsidR="00E75EF5" w:rsidRDefault="00E75EF5">
      <w:pPr>
        <w:pStyle w:val="Heading1"/>
        <w:rPr>
          <w:lang w:eastAsia="zh-CN"/>
        </w:rPr>
      </w:pPr>
      <w:r>
        <w:t>4</w:t>
      </w:r>
      <w:r>
        <w:tab/>
        <w:t xml:space="preserve">Detailed </w:t>
      </w:r>
      <w:proofErr w:type="gramStart"/>
      <w:r>
        <w:t>proposal</w:t>
      </w:r>
      <w:proofErr w:type="gramEnd"/>
    </w:p>
    <w:p w14:paraId="065433E2" w14:textId="77777777" w:rsidR="00D51EB8" w:rsidRDefault="00E75EF5" w:rsidP="005967D8">
      <w:pPr>
        <w:jc w:val="center"/>
        <w:rPr>
          <w:b/>
          <w:sz w:val="44"/>
          <w:szCs w:val="44"/>
        </w:rPr>
      </w:pPr>
      <w:r>
        <w:rPr>
          <w:b/>
          <w:sz w:val="44"/>
          <w:szCs w:val="44"/>
        </w:rPr>
        <w:t xml:space="preserve">**** </w:t>
      </w:r>
      <w:r>
        <w:rPr>
          <w:rFonts w:hint="eastAsia"/>
          <w:bCs/>
          <w:sz w:val="44"/>
          <w:szCs w:val="44"/>
          <w:lang w:val="en-US" w:eastAsia="zh-CN"/>
        </w:rPr>
        <w:t>START OF</w:t>
      </w:r>
      <w:r>
        <w:rPr>
          <w:sz w:val="44"/>
          <w:szCs w:val="44"/>
        </w:rPr>
        <w:t xml:space="preserve"> CHANGE</w:t>
      </w:r>
      <w:r>
        <w:rPr>
          <w:b/>
          <w:sz w:val="44"/>
          <w:szCs w:val="44"/>
        </w:rPr>
        <w:t xml:space="preserve"> ****</w:t>
      </w:r>
    </w:p>
    <w:p w14:paraId="078579F3" w14:textId="77777777" w:rsidR="00214C9E" w:rsidRDefault="00214C9E" w:rsidP="00214C9E">
      <w:pPr>
        <w:pStyle w:val="Heading2"/>
        <w:rPr>
          <w:rFonts w:eastAsia="DengXian"/>
        </w:rPr>
      </w:pPr>
      <w:bookmarkStart w:id="3" w:name="_Toc112749621"/>
      <w:bookmarkStart w:id="4" w:name="_Toc112948992"/>
      <w:bookmarkStart w:id="5" w:name="_Toc92180287"/>
      <w:bookmarkStart w:id="6" w:name="_Toc98929642"/>
      <w:r>
        <w:rPr>
          <w:rFonts w:eastAsia="DengXian"/>
        </w:rPr>
        <w:lastRenderedPageBreak/>
        <w:t>6.</w:t>
      </w:r>
      <w:r>
        <w:rPr>
          <w:rFonts w:eastAsia="DengXian"/>
          <w:lang w:eastAsia="zh-CN"/>
        </w:rPr>
        <w:t>4</w:t>
      </w:r>
      <w:r>
        <w:rPr>
          <w:rFonts w:eastAsia="DengXian"/>
        </w:rPr>
        <w:tab/>
        <w:t>Solution #</w:t>
      </w:r>
      <w:r>
        <w:rPr>
          <w:rFonts w:eastAsia="DengXian"/>
          <w:lang w:eastAsia="zh-CN"/>
        </w:rPr>
        <w:t>4</w:t>
      </w:r>
      <w:r>
        <w:rPr>
          <w:rFonts w:eastAsia="DengXian"/>
        </w:rPr>
        <w:t>: PC5 security establishment when L3 UE-to-UE relay is out of coverage</w:t>
      </w:r>
      <w:bookmarkEnd w:id="3"/>
      <w:bookmarkEnd w:id="4"/>
    </w:p>
    <w:p w14:paraId="26A41993" w14:textId="77777777" w:rsidR="00214C9E" w:rsidRDefault="00214C9E" w:rsidP="00214C9E">
      <w:pPr>
        <w:pStyle w:val="Heading3"/>
        <w:rPr>
          <w:rFonts w:eastAsia="DengXian"/>
        </w:rPr>
      </w:pPr>
      <w:bookmarkStart w:id="7" w:name="_Toc112749622"/>
      <w:bookmarkStart w:id="8" w:name="_Toc112948993"/>
      <w:r>
        <w:rPr>
          <w:rFonts w:eastAsia="DengXian"/>
        </w:rPr>
        <w:t>6.</w:t>
      </w:r>
      <w:r>
        <w:rPr>
          <w:rFonts w:eastAsia="DengXian"/>
          <w:lang w:eastAsia="zh-CN"/>
        </w:rPr>
        <w:t>4</w:t>
      </w:r>
      <w:r>
        <w:rPr>
          <w:rFonts w:eastAsia="DengXian"/>
        </w:rPr>
        <w:t>.1</w:t>
      </w:r>
      <w:r>
        <w:rPr>
          <w:rFonts w:eastAsia="DengXian"/>
        </w:rPr>
        <w:tab/>
        <w:t>Introduction</w:t>
      </w:r>
      <w:bookmarkEnd w:id="7"/>
      <w:bookmarkEnd w:id="8"/>
    </w:p>
    <w:p w14:paraId="0075DC05" w14:textId="77777777" w:rsidR="00214C9E" w:rsidRDefault="00214C9E" w:rsidP="00214C9E">
      <w:pPr>
        <w:rPr>
          <w:rFonts w:eastAsia="DengXian"/>
        </w:rPr>
      </w:pPr>
      <w:r>
        <w:t>This solution addresses Key issue #</w:t>
      </w:r>
      <w:r>
        <w:rPr>
          <w:lang w:val="en-US" w:eastAsia="zh-CN"/>
        </w:rPr>
        <w:t>2</w:t>
      </w:r>
      <w:r>
        <w:t>: Security of UE-to-UE Relay and Key issue #</w:t>
      </w:r>
      <w:r>
        <w:rPr>
          <w:lang w:val="en-US" w:eastAsia="zh-CN"/>
        </w:rPr>
        <w:t>3</w:t>
      </w:r>
      <w:r>
        <w:t>: Authorization in the UE-to-UE Relay Scenario. This solution addresses a L3 UE-to-UE relay.</w:t>
      </w:r>
    </w:p>
    <w:p w14:paraId="44866776" w14:textId="77777777" w:rsidR="00214C9E" w:rsidRDefault="00214C9E" w:rsidP="00214C9E">
      <w:r>
        <w:t>For UE-to-UE relay use cases, the L3 UE-to-UE relay may be in or out of 3GPP coverage. This solution provides a mechanism for PC5 security setup procedure between a source UE or target UE and a L3 UE-to-UE relay when the L3 UE-to-UE relay is out of 3GPP coverage.</w:t>
      </w:r>
    </w:p>
    <w:p w14:paraId="733BE3D2" w14:textId="77777777" w:rsidR="00214C9E" w:rsidRDefault="00214C9E" w:rsidP="00214C9E">
      <w:r>
        <w:t>This solution assumes long term credentials are provisioned into the UE(s) and form the root of the security of the PC5 unicast link as specified in TS 33.536 [9].</w:t>
      </w:r>
    </w:p>
    <w:p w14:paraId="5B9FDF4E" w14:textId="77777777" w:rsidR="00214C9E" w:rsidRDefault="00214C9E" w:rsidP="00214C9E">
      <w:r>
        <w:t>This solution proposes to use authorization tokens as in OAuth 2.0 to indicate that a source UE or a target UE or a L3 UE-to-UE relay is authorized to use a specific UE-to-UE service or to serve a specific UE-to-UE service. When the source UE or the target UE or the L3 UE-to-UE relay registers in the 3GPP network and is authorized to use the UE-to-UE service, the network provides a token stating what kind of UE-to-UE service it can use or serve. The token has an expiration time and is signed with a private key. The network also provides the public key to the UEs to be used for verifying the token from other parties.</w:t>
      </w:r>
    </w:p>
    <w:p w14:paraId="1F46A275" w14:textId="77777777" w:rsidR="00214C9E" w:rsidRDefault="00214C9E" w:rsidP="00214C9E">
      <w:pPr>
        <w:pStyle w:val="EditorsNote"/>
      </w:pPr>
      <w:r>
        <w:t>Editor’s Note: Which network function provides authorization token and how the UEs get the public key of token signing entity are FFS.</w:t>
      </w:r>
    </w:p>
    <w:p w14:paraId="73D3244A" w14:textId="77777777" w:rsidR="00214C9E" w:rsidRDefault="00214C9E" w:rsidP="00214C9E">
      <w:pPr>
        <w:pStyle w:val="Heading3"/>
        <w:rPr>
          <w:rFonts w:eastAsia="DengXian"/>
        </w:rPr>
      </w:pPr>
      <w:bookmarkStart w:id="9" w:name="_Toc112749623"/>
      <w:bookmarkStart w:id="10" w:name="_Toc112948994"/>
      <w:r>
        <w:rPr>
          <w:rFonts w:eastAsia="DengXian"/>
        </w:rPr>
        <w:t>6.</w:t>
      </w:r>
      <w:r>
        <w:rPr>
          <w:rFonts w:eastAsia="DengXian"/>
          <w:lang w:eastAsia="zh-CN"/>
        </w:rPr>
        <w:t>4</w:t>
      </w:r>
      <w:r>
        <w:rPr>
          <w:rFonts w:eastAsia="DengXian"/>
        </w:rPr>
        <w:t>.2</w:t>
      </w:r>
      <w:r>
        <w:rPr>
          <w:rFonts w:eastAsia="DengXian"/>
        </w:rPr>
        <w:tab/>
        <w:t>Solution details</w:t>
      </w:r>
      <w:bookmarkEnd w:id="9"/>
      <w:bookmarkEnd w:id="10"/>
    </w:p>
    <w:p w14:paraId="06241728" w14:textId="77777777" w:rsidR="00214C9E" w:rsidRDefault="00214C9E" w:rsidP="00214C9E">
      <w:pPr>
        <w:rPr>
          <w:rFonts w:eastAsia="DengXian"/>
        </w:rPr>
      </w:pPr>
      <w:r>
        <w:t>Figure 6.</w:t>
      </w:r>
      <w:r>
        <w:rPr>
          <w:lang w:eastAsia="zh-CN"/>
        </w:rPr>
        <w:t>4</w:t>
      </w:r>
      <w:r>
        <w:t>.2-1 illustrates the high-level procedure of the proposed solution.</w:t>
      </w:r>
    </w:p>
    <w:p w14:paraId="13137E7B" w14:textId="3A60299F" w:rsidR="00C526E0" w:rsidRDefault="00214C9E" w:rsidP="00214C9E">
      <w:pPr>
        <w:pStyle w:val="TH"/>
      </w:pPr>
      <w:r>
        <w:rPr>
          <w:rFonts w:eastAsia="DengXian"/>
        </w:rPr>
        <w:object w:dxaOrig="7850" w:dyaOrig="6720" w14:anchorId="6327C3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pt;height:336pt" o:ole="">
            <v:imagedata r:id="rId13" o:title=""/>
          </v:shape>
          <o:OLEObject Type="Embed" ProgID="Visio.Drawing.15" ShapeID="_x0000_i1025" DrawAspect="Content" ObjectID="_1727241511" r:id="rId14"/>
        </w:object>
      </w:r>
      <w:r w:rsidR="00C526E0">
        <w:rPr>
          <w:rFonts w:eastAsia="DengXian"/>
        </w:rPr>
        <w:fldChar w:fldCharType="begin"/>
      </w:r>
      <w:r w:rsidR="00F070E6">
        <w:rPr>
          <w:rFonts w:eastAsia="DengXian"/>
        </w:rPr>
        <w:fldChar w:fldCharType="separate"/>
      </w:r>
      <w:r w:rsidR="00C526E0">
        <w:rPr>
          <w:rFonts w:eastAsia="DengXian"/>
        </w:rPr>
        <w:fldChar w:fldCharType="end"/>
      </w:r>
    </w:p>
    <w:p w14:paraId="5A4C781A" w14:textId="77777777" w:rsidR="00214C9E" w:rsidRDefault="00214C9E" w:rsidP="00214C9E">
      <w:pPr>
        <w:pStyle w:val="TF"/>
      </w:pPr>
      <w:r>
        <w:t>Figure 6.</w:t>
      </w:r>
      <w:r>
        <w:rPr>
          <w:lang w:eastAsia="zh-CN"/>
        </w:rPr>
        <w:t>4</w:t>
      </w:r>
      <w:r>
        <w:t>.2-1: High-level procedure of PC5 security between Source/Target UE and UE-to-UE relay</w:t>
      </w:r>
    </w:p>
    <w:p w14:paraId="42A856FC" w14:textId="537CB488" w:rsidR="00214C9E" w:rsidRDefault="00214C9E" w:rsidP="00214C9E">
      <w:pPr>
        <w:pStyle w:val="B1"/>
        <w:ind w:left="709" w:hanging="425"/>
      </w:pPr>
      <w:r>
        <w:t xml:space="preserve">0. </w:t>
      </w:r>
      <w:r>
        <w:tab/>
        <w:t xml:space="preserve">The 5G ProSe Source/Target UE and UE-to-UE relay are provisioned with the discovery security materials and request authorization tokens when they are in coverage. </w:t>
      </w:r>
    </w:p>
    <w:p w14:paraId="4F1DDDB5" w14:textId="2A571D14" w:rsidR="00214C9E" w:rsidRDefault="00214C9E" w:rsidP="00214C9E">
      <w:pPr>
        <w:pStyle w:val="EditorsNote"/>
      </w:pPr>
      <w:r>
        <w:t>Editor’s Note: Further provisioned parameters e.g., PC5 security policies of UE-to-UE relay, public keys are FFS.</w:t>
      </w:r>
    </w:p>
    <w:p w14:paraId="47CF52A1" w14:textId="77777777" w:rsidR="00214C9E" w:rsidRDefault="00214C9E" w:rsidP="00214C9E">
      <w:pPr>
        <w:pStyle w:val="B1"/>
        <w:ind w:left="709" w:hanging="425"/>
      </w:pPr>
      <w:r>
        <w:lastRenderedPageBreak/>
        <w:t>1.</w:t>
      </w:r>
      <w:r>
        <w:tab/>
        <w:t>The discovery procedure for UE-to-UE Relay is performed by the 5G ProSe Source UE using the discovery parameters and discovery security material, based on the Relay Service Code for UE-to-UE Relay.</w:t>
      </w:r>
    </w:p>
    <w:p w14:paraId="77A1B736" w14:textId="1851A01B" w:rsidR="00214C9E" w:rsidRDefault="00214C9E" w:rsidP="00214C9E">
      <w:pPr>
        <w:pStyle w:val="B1"/>
        <w:keepNext/>
        <w:keepLines/>
        <w:ind w:left="709" w:hanging="425"/>
      </w:pPr>
      <w:r>
        <w:t>2.</w:t>
      </w:r>
      <w:r>
        <w:tab/>
        <w:t xml:space="preserve">If discovery result indicates the UE-to-UE Relay supports Direct Relay service authentication and authorization, the 5G ProSe Source UE sends a Direct Communication Request (DCR) that contains Relay Service Code (RSC) of the 5G ProSe UE-to-UE Relay service and Authorization token of 5G ProSe Source UE which is retrieved from step 0, and also the Key_Est_Info used for direct authentication and key establishment. </w:t>
      </w:r>
      <w:ins w:id="11" w:author="Ericsson 7" w:date="2022-09-17T14:34:00Z">
        <w:r w:rsidR="0030518E">
          <w:t xml:space="preserve">Protection of </w:t>
        </w:r>
      </w:ins>
      <w:ins w:id="12" w:author="Ericsson 7" w:date="2022-09-17T14:45:00Z">
        <w:r w:rsidR="00465D3B">
          <w:t>Authorization token</w:t>
        </w:r>
      </w:ins>
      <w:ins w:id="13" w:author="Ericsson 7" w:date="2022-09-17T14:34:00Z">
        <w:r w:rsidR="0030518E">
          <w:t xml:space="preserve"> and RSC in DCR can be done </w:t>
        </w:r>
      </w:ins>
      <w:ins w:id="14" w:author="Ericsson 7" w:date="2022-09-17T14:45:00Z">
        <w:r w:rsidR="003A61BB">
          <w:t xml:space="preserve">in a similar way </w:t>
        </w:r>
      </w:ins>
      <w:ins w:id="15" w:author="Ericsson 7" w:date="2022-09-17T14:34:00Z">
        <w:r w:rsidR="0030518E">
          <w:t>as described in TS33.503 [6].</w:t>
        </w:r>
      </w:ins>
    </w:p>
    <w:p w14:paraId="50A38359" w14:textId="3524E885" w:rsidR="00AF1565" w:rsidRDefault="00F070E6" w:rsidP="00F070E6">
      <w:pPr>
        <w:pStyle w:val="NO"/>
        <w:rPr>
          <w:ins w:id="16" w:author="Ericsson3" w:date="2022-10-14T08:32:00Z"/>
          <w:lang w:val="en-US"/>
        </w:rPr>
        <w:pPrChange w:id="17" w:author="Ericsson3" w:date="2022-10-14T08:32:00Z">
          <w:pPr>
            <w:pStyle w:val="EditorsNote"/>
          </w:pPr>
        </w:pPrChange>
      </w:pPr>
      <w:ins w:id="18" w:author="Ericsson3" w:date="2022-10-14T08:32:00Z">
        <w:r>
          <w:rPr>
            <w:lang w:val="en-US"/>
          </w:rPr>
          <w:t xml:space="preserve">NOTE: </w:t>
        </w:r>
        <w:r w:rsidR="00AF1565">
          <w:rPr>
            <w:lang w:val="en-US"/>
          </w:rPr>
          <w:t xml:space="preserve">The details regarding the ciphering algorithm can be decided in Normative work. </w:t>
        </w:r>
      </w:ins>
    </w:p>
    <w:p w14:paraId="11FE92D3" w14:textId="155A9F72" w:rsidR="00214C9E" w:rsidDel="003A61BB" w:rsidRDefault="00214C9E" w:rsidP="00214C9E">
      <w:pPr>
        <w:pStyle w:val="EditorsNote"/>
        <w:rPr>
          <w:del w:id="19" w:author="Ericsson 7" w:date="2022-09-17T14:45:00Z"/>
        </w:rPr>
      </w:pPr>
      <w:del w:id="20" w:author="Ericsson 7" w:date="2022-09-17T14:45:00Z">
        <w:r w:rsidDel="003A61BB">
          <w:delText>Editor’s Note: Its FFS whether the included parameters in Direct Communication Request message in step 2 can be protected by the discovery keys similar as to the Direct Communication Request message when establishing a secure PC5 link in between Remote UE and UE-to-network relay.</w:delText>
        </w:r>
      </w:del>
    </w:p>
    <w:p w14:paraId="6E535409" w14:textId="77777777" w:rsidR="00214C9E" w:rsidRDefault="00214C9E" w:rsidP="00214C9E">
      <w:pPr>
        <w:pStyle w:val="EditorsNote"/>
      </w:pPr>
      <w:r>
        <w:t>Editor’s Note: The need for authorization token is FFS”.</w:t>
      </w:r>
    </w:p>
    <w:p w14:paraId="0DCBBDA1" w14:textId="40AD1477" w:rsidR="00214C9E" w:rsidDel="003A61BB" w:rsidRDefault="00214C9E" w:rsidP="00214C9E">
      <w:pPr>
        <w:pStyle w:val="EditorsNote"/>
        <w:rPr>
          <w:del w:id="21" w:author="Ericsson 7" w:date="2022-09-17T14:45:00Z"/>
        </w:rPr>
      </w:pPr>
      <w:del w:id="22" w:author="Ericsson 7" w:date="2022-09-17T14:45:00Z">
        <w:r w:rsidDel="003A61BB">
          <w:delText>Editor’s Note: Its FFS how token freshness is guaranteed as any peer UE can replay the token (since sent in the clear in DCR).</w:delText>
        </w:r>
      </w:del>
    </w:p>
    <w:p w14:paraId="5C3693BE" w14:textId="77777777" w:rsidR="00214C9E" w:rsidRDefault="00214C9E" w:rsidP="00214C9E">
      <w:pPr>
        <w:pStyle w:val="B1"/>
        <w:ind w:left="709" w:hanging="425"/>
      </w:pPr>
      <w:r>
        <w:t>3.</w:t>
      </w:r>
      <w:r>
        <w:tab/>
      </w:r>
      <w:r>
        <w:rPr>
          <w:rFonts w:eastAsia="Malgun Gothic"/>
        </w:rPr>
        <w:t xml:space="preserve">Direct Auth and Key Establish procedure </w:t>
      </w:r>
      <w:r>
        <w:t>as specified in TS 33.536 [9] is performed.</w:t>
      </w:r>
    </w:p>
    <w:p w14:paraId="34CEBA17" w14:textId="77777777" w:rsidR="00214C9E" w:rsidRDefault="00214C9E" w:rsidP="00214C9E">
      <w:pPr>
        <w:pStyle w:val="B1"/>
        <w:ind w:left="709" w:hanging="425"/>
        <w:rPr>
          <w:lang w:eastAsia="zh-CN"/>
        </w:rPr>
      </w:pPr>
      <w:r>
        <w:t>4.</w:t>
      </w:r>
      <w:r>
        <w:tab/>
        <w:t>The 5G ProSe UE-to-UE Relay uses the public key provided by the network to verify the token of the 5G ProSe Source UE that the 5G ProSe Source UE is authorized to get the UE-to-UE relay service.</w:t>
      </w:r>
      <w:r>
        <w:tab/>
      </w:r>
    </w:p>
    <w:p w14:paraId="79C5C491" w14:textId="72E06877" w:rsidR="00214C9E" w:rsidRDefault="00214C9E" w:rsidP="00214C9E">
      <w:pPr>
        <w:pStyle w:val="B1"/>
        <w:ind w:left="709" w:hanging="425"/>
      </w:pPr>
      <w:r>
        <w:t>5.</w:t>
      </w:r>
      <w:r>
        <w:tab/>
        <w:t>The 5G ProSe UE-to-UE Relay derives K</w:t>
      </w:r>
      <w:r>
        <w:rPr>
          <w:vertAlign w:val="subscript"/>
        </w:rPr>
        <w:t>NRP</w:t>
      </w:r>
      <w:r>
        <w:t xml:space="preserve"> and other security material as specified in TS 33.536 [9]. The 5G ProSe UE-to-UE Relay sends a Direct Security Mode Command message to the 5G ProSe Source UE including the Authorization token of 5G ProSe UE-to-UE Relay which is retrieved from step 0.</w:t>
      </w:r>
      <w:ins w:id="23" w:author="Ericsson 7" w:date="2022-09-17T14:46:00Z">
        <w:r w:rsidR="00430284">
          <w:t xml:space="preserve"> The </w:t>
        </w:r>
        <w:r w:rsidR="00430284" w:rsidRPr="00430284">
          <w:t>protection</w:t>
        </w:r>
      </w:ins>
      <w:ins w:id="24" w:author="Darren Wang" w:date="2022-09-28T11:22:00Z">
        <w:r w:rsidR="00010FD1">
          <w:t xml:space="preserve"> of</w:t>
        </w:r>
      </w:ins>
      <w:ins w:id="25" w:author="Ericsson 7" w:date="2022-09-17T14:46:00Z">
        <w:r w:rsidR="00430284">
          <w:t xml:space="preserve"> </w:t>
        </w:r>
      </w:ins>
      <w:ins w:id="26" w:author="Ericsson 7" w:date="2022-09-17T14:47:00Z">
        <w:r w:rsidR="00430284">
          <w:t>the Authorization token</w:t>
        </w:r>
      </w:ins>
      <w:ins w:id="27" w:author="Darren Wang" w:date="2022-09-28T11:22:00Z">
        <w:r w:rsidR="00010FD1">
          <w:t xml:space="preserve"> is applied in the same way as step 2</w:t>
        </w:r>
      </w:ins>
      <w:ins w:id="28" w:author="Ericsson 7" w:date="2022-09-17T14:47:00Z">
        <w:r w:rsidR="00430284">
          <w:t>.</w:t>
        </w:r>
      </w:ins>
    </w:p>
    <w:p w14:paraId="3312E211" w14:textId="77777777" w:rsidR="00214C9E" w:rsidRDefault="00214C9E" w:rsidP="00214C9E">
      <w:pPr>
        <w:pStyle w:val="B1"/>
        <w:ind w:left="709" w:hanging="425"/>
      </w:pPr>
      <w:r>
        <w:t>6.</w:t>
      </w:r>
      <w:r>
        <w:tab/>
        <w:t>The 5G ProSe Source UE uses the public key provided by the network to verify the token of the 5G ProSe UE-to-UE Relay that the 5G ProSe UE-to-UE Relay is authorized to provide the UE-to-UE relay service. The 5G ProSe Source UE derives K</w:t>
      </w:r>
      <w:r>
        <w:rPr>
          <w:vertAlign w:val="subscript"/>
        </w:rPr>
        <w:t>NRP</w:t>
      </w:r>
      <w:r>
        <w:t xml:space="preserve"> and other security material similar as the 5G ProSe UE-to-UE Relay in step5.</w:t>
      </w:r>
    </w:p>
    <w:p w14:paraId="76777586" w14:textId="77777777" w:rsidR="00214C9E" w:rsidRDefault="00214C9E" w:rsidP="00214C9E">
      <w:pPr>
        <w:pStyle w:val="B1"/>
        <w:ind w:left="709" w:hanging="425"/>
      </w:pPr>
      <w:r>
        <w:t>7.</w:t>
      </w:r>
      <w:r>
        <w:tab/>
        <w:t>The 5G ProSe Source UE sends the Direct Security Mode Complete message to the 5G ProSe UE-to-UE.</w:t>
      </w:r>
    </w:p>
    <w:p w14:paraId="5FE47D3B" w14:textId="3E717BB7" w:rsidR="00214C9E" w:rsidRDefault="00214C9E" w:rsidP="00214C9E">
      <w:pPr>
        <w:pStyle w:val="B1"/>
        <w:ind w:left="709" w:hanging="425"/>
      </w:pPr>
      <w:r>
        <w:t>8.</w:t>
      </w:r>
      <w:r>
        <w:tab/>
        <w:t xml:space="preserve">The 5G ProSe </w:t>
      </w:r>
      <w:r>
        <w:rPr>
          <w:lang w:eastAsia="zh-CN"/>
        </w:rPr>
        <w:t>Source</w:t>
      </w:r>
      <w:r>
        <w:t xml:space="preserve"> UE and 5G ProSe UE-to-UE Relay continue with the rest of procedure for the UE-to-UE relay service over the secure PC5 link.</w:t>
      </w:r>
    </w:p>
    <w:p w14:paraId="5BA51B78" w14:textId="56C0BD53" w:rsidR="00214C9E" w:rsidRDefault="00214C9E" w:rsidP="00214C9E">
      <w:pPr>
        <w:pStyle w:val="EditorsNote"/>
      </w:pPr>
      <w:r>
        <w:t>Editor’s Note: Further and remaining messages needs to be updated and clarified in step 8.</w:t>
      </w:r>
    </w:p>
    <w:p w14:paraId="681BBF08" w14:textId="77777777" w:rsidR="00214C9E" w:rsidRDefault="00214C9E" w:rsidP="00214C9E">
      <w:pPr>
        <w:pStyle w:val="B1"/>
        <w:ind w:left="709" w:hanging="425"/>
      </w:pPr>
      <w:r>
        <w:t>9.</w:t>
      </w:r>
      <w:r>
        <w:tab/>
        <w:t xml:space="preserve">Step 1-8 are repeated for PC5 security establishment between the 5G ProSe </w:t>
      </w:r>
      <w:r>
        <w:rPr>
          <w:lang w:eastAsia="zh-CN"/>
        </w:rPr>
        <w:t>Target</w:t>
      </w:r>
      <w:r>
        <w:t xml:space="preserve"> UE and 5G ProSe UE-to-UE Relay.</w:t>
      </w:r>
    </w:p>
    <w:p w14:paraId="0B7C7A17" w14:textId="6920B9F5" w:rsidR="00214C9E" w:rsidRDefault="00214C9E" w:rsidP="00214C9E">
      <w:pPr>
        <w:pStyle w:val="EditorsNote"/>
      </w:pPr>
      <w:r>
        <w:t>Editor’s Note: It is FFS whether PC5 security set up procedure between target UE and Relay UE is performed after or in parallel to the PC5 security set up procedure between source UE and Relay UE.</w:t>
      </w:r>
    </w:p>
    <w:p w14:paraId="41647236" w14:textId="77777777" w:rsidR="00214C9E" w:rsidRDefault="00214C9E" w:rsidP="00214C9E">
      <w:pPr>
        <w:pStyle w:val="B1"/>
        <w:ind w:left="709" w:hanging="425"/>
      </w:pPr>
      <w:r>
        <w:t xml:space="preserve">10. </w:t>
      </w:r>
      <w:r>
        <w:tab/>
        <w:t>The 5G ProSe Source UE and the 5G ProSe Target UE may establish an end-to-end Security via 5G ProSe UE-to-UE relay. The detail is not described in this solution.</w:t>
      </w:r>
    </w:p>
    <w:p w14:paraId="457E61C0" w14:textId="77777777" w:rsidR="00214C9E" w:rsidRDefault="00214C9E" w:rsidP="00214C9E">
      <w:pPr>
        <w:pStyle w:val="EditorsNote"/>
      </w:pPr>
      <w:r>
        <w:t>Editor’s Note: The method for providing End to End IP security is FFS.</w:t>
      </w:r>
    </w:p>
    <w:p w14:paraId="1C78DE51" w14:textId="77777777" w:rsidR="00214C9E" w:rsidRDefault="00214C9E" w:rsidP="00214C9E">
      <w:pPr>
        <w:pStyle w:val="EditorsNote"/>
      </w:pPr>
      <w:r>
        <w:t>Editor’s Note: The need of End-to-end security in L3 relay is FFS,</w:t>
      </w:r>
    </w:p>
    <w:p w14:paraId="63F57B8D" w14:textId="77777777" w:rsidR="00214C9E" w:rsidRDefault="00214C9E" w:rsidP="00214C9E">
      <w:pPr>
        <w:pStyle w:val="EditorsNote"/>
      </w:pPr>
      <w:r>
        <w:t>Editor’s Note: The impact on the protocol stack to support end-to-end security for a L3 relay is FFS.</w:t>
      </w:r>
    </w:p>
    <w:p w14:paraId="15362932" w14:textId="77777777" w:rsidR="00D564D8" w:rsidRPr="00214C9E" w:rsidRDefault="00D564D8" w:rsidP="00251D1F">
      <w:pPr>
        <w:pStyle w:val="B1"/>
        <w:ind w:left="709" w:hanging="425"/>
      </w:pPr>
    </w:p>
    <w:bookmarkEnd w:id="5"/>
    <w:bookmarkEnd w:id="6"/>
    <w:p w14:paraId="4BBDFF33" w14:textId="77777777" w:rsidR="008F3DBD" w:rsidRPr="008F3DBD" w:rsidRDefault="008F3DBD" w:rsidP="0075474E"/>
    <w:p w14:paraId="52F41A19" w14:textId="77777777" w:rsidR="00EF2692" w:rsidRPr="005967D8" w:rsidRDefault="00EF2692" w:rsidP="00EF2692">
      <w:pPr>
        <w:jc w:val="center"/>
        <w:rPr>
          <w:b/>
          <w:sz w:val="44"/>
          <w:szCs w:val="44"/>
        </w:rPr>
      </w:pPr>
      <w:r>
        <w:rPr>
          <w:b/>
          <w:sz w:val="44"/>
          <w:szCs w:val="44"/>
        </w:rPr>
        <w:t xml:space="preserve">**** </w:t>
      </w:r>
      <w:r>
        <w:rPr>
          <w:bCs/>
          <w:sz w:val="44"/>
          <w:szCs w:val="44"/>
          <w:lang w:val="en-US" w:eastAsia="zh-CN"/>
        </w:rPr>
        <w:t>END</w:t>
      </w:r>
      <w:r>
        <w:rPr>
          <w:rFonts w:hint="eastAsia"/>
          <w:bCs/>
          <w:sz w:val="44"/>
          <w:szCs w:val="44"/>
          <w:lang w:val="en-US" w:eastAsia="zh-CN"/>
        </w:rPr>
        <w:t xml:space="preserve"> OF</w:t>
      </w:r>
      <w:r>
        <w:rPr>
          <w:sz w:val="44"/>
          <w:szCs w:val="44"/>
        </w:rPr>
        <w:t xml:space="preserve"> CHANGE</w:t>
      </w:r>
      <w:r>
        <w:rPr>
          <w:b/>
          <w:sz w:val="44"/>
          <w:szCs w:val="44"/>
        </w:rPr>
        <w:t xml:space="preserve"> ****</w:t>
      </w:r>
    </w:p>
    <w:sectPr w:rsidR="00EF2692" w:rsidRPr="005967D8">
      <w:footnotePr>
        <w:numRestart w:val="eachSect"/>
      </w:footnotePr>
      <w:pgSz w:w="11907" w:h="16840"/>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D2BBA" w14:textId="77777777" w:rsidR="009C6928" w:rsidRDefault="009C6928" w:rsidP="0078794C">
      <w:pPr>
        <w:spacing w:after="0"/>
      </w:pPr>
      <w:r>
        <w:separator/>
      </w:r>
    </w:p>
  </w:endnote>
  <w:endnote w:type="continuationSeparator" w:id="0">
    <w:p w14:paraId="5B05618A" w14:textId="77777777" w:rsidR="009C6928" w:rsidRDefault="009C6928" w:rsidP="0078794C">
      <w:pPr>
        <w:spacing w:after="0"/>
      </w:pPr>
      <w:r>
        <w:continuationSeparator/>
      </w:r>
    </w:p>
  </w:endnote>
  <w:endnote w:type="continuationNotice" w:id="1">
    <w:p w14:paraId="3FBED070" w14:textId="77777777" w:rsidR="009C6928" w:rsidRDefault="009C692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89916" w14:textId="77777777" w:rsidR="009C6928" w:rsidRDefault="009C6928" w:rsidP="0078794C">
      <w:pPr>
        <w:spacing w:after="0"/>
      </w:pPr>
      <w:r>
        <w:separator/>
      </w:r>
    </w:p>
  </w:footnote>
  <w:footnote w:type="continuationSeparator" w:id="0">
    <w:p w14:paraId="5A15BD26" w14:textId="77777777" w:rsidR="009C6928" w:rsidRDefault="009C6928" w:rsidP="0078794C">
      <w:pPr>
        <w:spacing w:after="0"/>
      </w:pPr>
      <w:r>
        <w:continuationSeparator/>
      </w:r>
    </w:p>
  </w:footnote>
  <w:footnote w:type="continuationNotice" w:id="1">
    <w:p w14:paraId="00995C04" w14:textId="77777777" w:rsidR="009C6928" w:rsidRDefault="009C692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605C0"/>
    <w:multiLevelType w:val="hybridMultilevel"/>
    <w:tmpl w:val="174C0FDC"/>
    <w:lvl w:ilvl="0" w:tplc="DB529972">
      <w:start w:val="5"/>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32E4047"/>
    <w:multiLevelType w:val="hybridMultilevel"/>
    <w:tmpl w:val="61F45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0F5243"/>
    <w:multiLevelType w:val="hybridMultilevel"/>
    <w:tmpl w:val="786AF69E"/>
    <w:lvl w:ilvl="0" w:tplc="34C84B8A">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D222F75"/>
    <w:multiLevelType w:val="multilevel"/>
    <w:tmpl w:val="5D222F75"/>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74C72A5"/>
    <w:multiLevelType w:val="hybridMultilevel"/>
    <w:tmpl w:val="539018D0"/>
    <w:lvl w:ilvl="0" w:tplc="9FEC9EC4">
      <w:start w:val="5"/>
      <w:numFmt w:val="bullet"/>
      <w:lvlText w:val="-"/>
      <w:lvlJc w:val="left"/>
      <w:pPr>
        <w:ind w:left="720" w:hanging="360"/>
      </w:pPr>
      <w:rPr>
        <w:rFonts w:ascii="Times New Roman" w:eastAsia="MS Mincho"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3">
    <w15:presenceInfo w15:providerId="None" w15:userId="Ericsson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172A27"/>
    <w:rsid w:val="0001079D"/>
    <w:rsid w:val="00010FD1"/>
    <w:rsid w:val="00012515"/>
    <w:rsid w:val="00046389"/>
    <w:rsid w:val="0005090A"/>
    <w:rsid w:val="00074722"/>
    <w:rsid w:val="00077E56"/>
    <w:rsid w:val="00081064"/>
    <w:rsid w:val="000819D8"/>
    <w:rsid w:val="000934A6"/>
    <w:rsid w:val="0009647F"/>
    <w:rsid w:val="000A2C6C"/>
    <w:rsid w:val="000A4660"/>
    <w:rsid w:val="000B4982"/>
    <w:rsid w:val="000B5758"/>
    <w:rsid w:val="000C2F20"/>
    <w:rsid w:val="000C5379"/>
    <w:rsid w:val="000C748E"/>
    <w:rsid w:val="000D1B5B"/>
    <w:rsid w:val="000E76E3"/>
    <w:rsid w:val="000E7BDC"/>
    <w:rsid w:val="000F44C1"/>
    <w:rsid w:val="0010197B"/>
    <w:rsid w:val="0010401F"/>
    <w:rsid w:val="00107165"/>
    <w:rsid w:val="00110146"/>
    <w:rsid w:val="00112FC3"/>
    <w:rsid w:val="001131B3"/>
    <w:rsid w:val="00122EBB"/>
    <w:rsid w:val="00132E7F"/>
    <w:rsid w:val="001432BE"/>
    <w:rsid w:val="00145D6F"/>
    <w:rsid w:val="00172A27"/>
    <w:rsid w:val="00173FA3"/>
    <w:rsid w:val="00181B9C"/>
    <w:rsid w:val="00184B6F"/>
    <w:rsid w:val="001861E5"/>
    <w:rsid w:val="001A0B0A"/>
    <w:rsid w:val="001B1652"/>
    <w:rsid w:val="001C3EC8"/>
    <w:rsid w:val="001D2BD4"/>
    <w:rsid w:val="001D6911"/>
    <w:rsid w:val="001D7200"/>
    <w:rsid w:val="001D74CC"/>
    <w:rsid w:val="001F2F6C"/>
    <w:rsid w:val="00201947"/>
    <w:rsid w:val="0020395B"/>
    <w:rsid w:val="002046CB"/>
    <w:rsid w:val="00204DC9"/>
    <w:rsid w:val="002062C0"/>
    <w:rsid w:val="00206D0E"/>
    <w:rsid w:val="002136F9"/>
    <w:rsid w:val="00214C9E"/>
    <w:rsid w:val="00214D31"/>
    <w:rsid w:val="00215130"/>
    <w:rsid w:val="002172C6"/>
    <w:rsid w:val="00222EB8"/>
    <w:rsid w:val="00225FB4"/>
    <w:rsid w:val="00226DAE"/>
    <w:rsid w:val="00230002"/>
    <w:rsid w:val="00244C9A"/>
    <w:rsid w:val="00247216"/>
    <w:rsid w:val="00251D1F"/>
    <w:rsid w:val="00251F8C"/>
    <w:rsid w:val="00264D3A"/>
    <w:rsid w:val="00270228"/>
    <w:rsid w:val="002714C5"/>
    <w:rsid w:val="00274467"/>
    <w:rsid w:val="00285EA3"/>
    <w:rsid w:val="002878F3"/>
    <w:rsid w:val="0028791D"/>
    <w:rsid w:val="0029594D"/>
    <w:rsid w:val="002A1857"/>
    <w:rsid w:val="002C2351"/>
    <w:rsid w:val="002C7F38"/>
    <w:rsid w:val="002D2235"/>
    <w:rsid w:val="002D7A95"/>
    <w:rsid w:val="002E5D55"/>
    <w:rsid w:val="00303A4D"/>
    <w:rsid w:val="0030518E"/>
    <w:rsid w:val="0030628A"/>
    <w:rsid w:val="00332886"/>
    <w:rsid w:val="003462D6"/>
    <w:rsid w:val="0035122B"/>
    <w:rsid w:val="00353451"/>
    <w:rsid w:val="00371032"/>
    <w:rsid w:val="00371B44"/>
    <w:rsid w:val="00374716"/>
    <w:rsid w:val="003749AB"/>
    <w:rsid w:val="003833E7"/>
    <w:rsid w:val="003857E5"/>
    <w:rsid w:val="003875BB"/>
    <w:rsid w:val="003A4A93"/>
    <w:rsid w:val="003A61BB"/>
    <w:rsid w:val="003A73A3"/>
    <w:rsid w:val="003C122B"/>
    <w:rsid w:val="003C1331"/>
    <w:rsid w:val="003C3E04"/>
    <w:rsid w:val="003C43D7"/>
    <w:rsid w:val="003C5A97"/>
    <w:rsid w:val="003C7A04"/>
    <w:rsid w:val="003D390C"/>
    <w:rsid w:val="003D40C7"/>
    <w:rsid w:val="003D665C"/>
    <w:rsid w:val="003E1AB9"/>
    <w:rsid w:val="003E665E"/>
    <w:rsid w:val="003F52B2"/>
    <w:rsid w:val="003F7398"/>
    <w:rsid w:val="0040423B"/>
    <w:rsid w:val="004070DE"/>
    <w:rsid w:val="004208AC"/>
    <w:rsid w:val="00426F54"/>
    <w:rsid w:val="00430284"/>
    <w:rsid w:val="00430548"/>
    <w:rsid w:val="00433E73"/>
    <w:rsid w:val="00440414"/>
    <w:rsid w:val="004407B0"/>
    <w:rsid w:val="0045146D"/>
    <w:rsid w:val="004550B1"/>
    <w:rsid w:val="004558E9"/>
    <w:rsid w:val="0045777E"/>
    <w:rsid w:val="00465D3B"/>
    <w:rsid w:val="00467B3A"/>
    <w:rsid w:val="00471893"/>
    <w:rsid w:val="00474118"/>
    <w:rsid w:val="004959AC"/>
    <w:rsid w:val="004A6A53"/>
    <w:rsid w:val="004B3753"/>
    <w:rsid w:val="004B5236"/>
    <w:rsid w:val="004C31D2"/>
    <w:rsid w:val="004C597D"/>
    <w:rsid w:val="004D2B97"/>
    <w:rsid w:val="004D55C2"/>
    <w:rsid w:val="004D718F"/>
    <w:rsid w:val="004E0980"/>
    <w:rsid w:val="004E32F9"/>
    <w:rsid w:val="004F0E6C"/>
    <w:rsid w:val="004F3275"/>
    <w:rsid w:val="00501E76"/>
    <w:rsid w:val="00502091"/>
    <w:rsid w:val="00513316"/>
    <w:rsid w:val="00517BD3"/>
    <w:rsid w:val="00520085"/>
    <w:rsid w:val="00521131"/>
    <w:rsid w:val="00526576"/>
    <w:rsid w:val="00527C0B"/>
    <w:rsid w:val="00540A6D"/>
    <w:rsid w:val="005410F6"/>
    <w:rsid w:val="005452F0"/>
    <w:rsid w:val="005729C4"/>
    <w:rsid w:val="005740C5"/>
    <w:rsid w:val="005747A5"/>
    <w:rsid w:val="00591668"/>
    <w:rsid w:val="0059227B"/>
    <w:rsid w:val="00592654"/>
    <w:rsid w:val="005967D8"/>
    <w:rsid w:val="005A0A14"/>
    <w:rsid w:val="005B03A0"/>
    <w:rsid w:val="005B0966"/>
    <w:rsid w:val="005B6238"/>
    <w:rsid w:val="005B795D"/>
    <w:rsid w:val="005C05F7"/>
    <w:rsid w:val="005C4E01"/>
    <w:rsid w:val="005D7D2E"/>
    <w:rsid w:val="005D7DD0"/>
    <w:rsid w:val="005F1D84"/>
    <w:rsid w:val="0060514A"/>
    <w:rsid w:val="00613820"/>
    <w:rsid w:val="00614C83"/>
    <w:rsid w:val="006155BC"/>
    <w:rsid w:val="00626C1D"/>
    <w:rsid w:val="0063423F"/>
    <w:rsid w:val="00652248"/>
    <w:rsid w:val="006534EE"/>
    <w:rsid w:val="00657B80"/>
    <w:rsid w:val="00675B3C"/>
    <w:rsid w:val="0068131B"/>
    <w:rsid w:val="00692866"/>
    <w:rsid w:val="0069495C"/>
    <w:rsid w:val="00695A22"/>
    <w:rsid w:val="00696A8E"/>
    <w:rsid w:val="006C1F34"/>
    <w:rsid w:val="006C4BF2"/>
    <w:rsid w:val="006D340A"/>
    <w:rsid w:val="006E0D58"/>
    <w:rsid w:val="006E3D04"/>
    <w:rsid w:val="006F5722"/>
    <w:rsid w:val="006F5EB6"/>
    <w:rsid w:val="007063F3"/>
    <w:rsid w:val="00715A1D"/>
    <w:rsid w:val="0072502B"/>
    <w:rsid w:val="0075086E"/>
    <w:rsid w:val="0075474E"/>
    <w:rsid w:val="00760BB0"/>
    <w:rsid w:val="0076157A"/>
    <w:rsid w:val="0076361A"/>
    <w:rsid w:val="0076615C"/>
    <w:rsid w:val="00771619"/>
    <w:rsid w:val="00777D72"/>
    <w:rsid w:val="00784593"/>
    <w:rsid w:val="0078794C"/>
    <w:rsid w:val="007946BB"/>
    <w:rsid w:val="00795172"/>
    <w:rsid w:val="007A00EF"/>
    <w:rsid w:val="007A1263"/>
    <w:rsid w:val="007A1A13"/>
    <w:rsid w:val="007A5195"/>
    <w:rsid w:val="007B097C"/>
    <w:rsid w:val="007B19EA"/>
    <w:rsid w:val="007B4849"/>
    <w:rsid w:val="007B7B57"/>
    <w:rsid w:val="007C0A2D"/>
    <w:rsid w:val="007C27B0"/>
    <w:rsid w:val="007C4172"/>
    <w:rsid w:val="007D0488"/>
    <w:rsid w:val="007E537E"/>
    <w:rsid w:val="007E5A69"/>
    <w:rsid w:val="007F22CD"/>
    <w:rsid w:val="007F300B"/>
    <w:rsid w:val="008014C3"/>
    <w:rsid w:val="00802212"/>
    <w:rsid w:val="008038DE"/>
    <w:rsid w:val="00813FD6"/>
    <w:rsid w:val="008410BC"/>
    <w:rsid w:val="00850812"/>
    <w:rsid w:val="00876B9A"/>
    <w:rsid w:val="008841F2"/>
    <w:rsid w:val="00885D38"/>
    <w:rsid w:val="008933BF"/>
    <w:rsid w:val="00894ABB"/>
    <w:rsid w:val="008A10C4"/>
    <w:rsid w:val="008B0248"/>
    <w:rsid w:val="008B16E3"/>
    <w:rsid w:val="008C2B7A"/>
    <w:rsid w:val="008C40EF"/>
    <w:rsid w:val="008C571F"/>
    <w:rsid w:val="008C7DDE"/>
    <w:rsid w:val="008D1360"/>
    <w:rsid w:val="008E0382"/>
    <w:rsid w:val="008F3DBD"/>
    <w:rsid w:val="008F5F33"/>
    <w:rsid w:val="00900596"/>
    <w:rsid w:val="009006C6"/>
    <w:rsid w:val="0091046A"/>
    <w:rsid w:val="00925142"/>
    <w:rsid w:val="00926ABD"/>
    <w:rsid w:val="0093351D"/>
    <w:rsid w:val="00940A36"/>
    <w:rsid w:val="00943852"/>
    <w:rsid w:val="00947F4E"/>
    <w:rsid w:val="00952146"/>
    <w:rsid w:val="00955E7C"/>
    <w:rsid w:val="00962673"/>
    <w:rsid w:val="00963056"/>
    <w:rsid w:val="00964703"/>
    <w:rsid w:val="00966D47"/>
    <w:rsid w:val="00981B5B"/>
    <w:rsid w:val="00985722"/>
    <w:rsid w:val="00992312"/>
    <w:rsid w:val="00997974"/>
    <w:rsid w:val="00997C5C"/>
    <w:rsid w:val="009A1345"/>
    <w:rsid w:val="009B3709"/>
    <w:rsid w:val="009B3B06"/>
    <w:rsid w:val="009C06D7"/>
    <w:rsid w:val="009C0DED"/>
    <w:rsid w:val="009C1D8A"/>
    <w:rsid w:val="009C6928"/>
    <w:rsid w:val="009D679C"/>
    <w:rsid w:val="009E167D"/>
    <w:rsid w:val="009F0929"/>
    <w:rsid w:val="00A000FD"/>
    <w:rsid w:val="00A00A3C"/>
    <w:rsid w:val="00A11FB8"/>
    <w:rsid w:val="00A17600"/>
    <w:rsid w:val="00A203BA"/>
    <w:rsid w:val="00A219A7"/>
    <w:rsid w:val="00A31BFA"/>
    <w:rsid w:val="00A37D7F"/>
    <w:rsid w:val="00A42460"/>
    <w:rsid w:val="00A46410"/>
    <w:rsid w:val="00A5238B"/>
    <w:rsid w:val="00A57688"/>
    <w:rsid w:val="00A616EA"/>
    <w:rsid w:val="00A73518"/>
    <w:rsid w:val="00A7508C"/>
    <w:rsid w:val="00A82541"/>
    <w:rsid w:val="00A827E0"/>
    <w:rsid w:val="00A84A94"/>
    <w:rsid w:val="00A85B71"/>
    <w:rsid w:val="00A86BF7"/>
    <w:rsid w:val="00AB787C"/>
    <w:rsid w:val="00AD1DAA"/>
    <w:rsid w:val="00AF1565"/>
    <w:rsid w:val="00AF1E23"/>
    <w:rsid w:val="00AF2031"/>
    <w:rsid w:val="00AF7F81"/>
    <w:rsid w:val="00B01AFF"/>
    <w:rsid w:val="00B05CC7"/>
    <w:rsid w:val="00B10043"/>
    <w:rsid w:val="00B17D16"/>
    <w:rsid w:val="00B21A1D"/>
    <w:rsid w:val="00B231DA"/>
    <w:rsid w:val="00B27E39"/>
    <w:rsid w:val="00B350D8"/>
    <w:rsid w:val="00B359EA"/>
    <w:rsid w:val="00B52568"/>
    <w:rsid w:val="00B54E28"/>
    <w:rsid w:val="00B567AD"/>
    <w:rsid w:val="00B6327A"/>
    <w:rsid w:val="00B6491E"/>
    <w:rsid w:val="00B74871"/>
    <w:rsid w:val="00B76763"/>
    <w:rsid w:val="00B7732B"/>
    <w:rsid w:val="00B87327"/>
    <w:rsid w:val="00B879F0"/>
    <w:rsid w:val="00BA4BD7"/>
    <w:rsid w:val="00BB3D80"/>
    <w:rsid w:val="00BB662A"/>
    <w:rsid w:val="00BC2235"/>
    <w:rsid w:val="00BC25AA"/>
    <w:rsid w:val="00BD76F1"/>
    <w:rsid w:val="00BF5545"/>
    <w:rsid w:val="00C022E3"/>
    <w:rsid w:val="00C04851"/>
    <w:rsid w:val="00C13BC2"/>
    <w:rsid w:val="00C13C9B"/>
    <w:rsid w:val="00C303B7"/>
    <w:rsid w:val="00C33174"/>
    <w:rsid w:val="00C341C7"/>
    <w:rsid w:val="00C3712F"/>
    <w:rsid w:val="00C372B3"/>
    <w:rsid w:val="00C44283"/>
    <w:rsid w:val="00C4712D"/>
    <w:rsid w:val="00C526E0"/>
    <w:rsid w:val="00C555C9"/>
    <w:rsid w:val="00C5689B"/>
    <w:rsid w:val="00C64F2D"/>
    <w:rsid w:val="00C75CA5"/>
    <w:rsid w:val="00C80066"/>
    <w:rsid w:val="00C84FC5"/>
    <w:rsid w:val="00C9386E"/>
    <w:rsid w:val="00C94F55"/>
    <w:rsid w:val="00C96A3B"/>
    <w:rsid w:val="00CA5377"/>
    <w:rsid w:val="00CA7D62"/>
    <w:rsid w:val="00CB07A8"/>
    <w:rsid w:val="00CB74A3"/>
    <w:rsid w:val="00CC012F"/>
    <w:rsid w:val="00CD4A57"/>
    <w:rsid w:val="00CE304E"/>
    <w:rsid w:val="00CF199A"/>
    <w:rsid w:val="00CF5382"/>
    <w:rsid w:val="00D226CD"/>
    <w:rsid w:val="00D24524"/>
    <w:rsid w:val="00D33604"/>
    <w:rsid w:val="00D3396B"/>
    <w:rsid w:val="00D37B08"/>
    <w:rsid w:val="00D437FF"/>
    <w:rsid w:val="00D45E3D"/>
    <w:rsid w:val="00D5124E"/>
    <w:rsid w:val="00D5130C"/>
    <w:rsid w:val="00D51EB8"/>
    <w:rsid w:val="00D532EB"/>
    <w:rsid w:val="00D564D8"/>
    <w:rsid w:val="00D62265"/>
    <w:rsid w:val="00D71182"/>
    <w:rsid w:val="00D755A1"/>
    <w:rsid w:val="00D8512E"/>
    <w:rsid w:val="00D90C43"/>
    <w:rsid w:val="00D91FD3"/>
    <w:rsid w:val="00DA07A3"/>
    <w:rsid w:val="00DA1E58"/>
    <w:rsid w:val="00DB0D88"/>
    <w:rsid w:val="00DB2977"/>
    <w:rsid w:val="00DB544D"/>
    <w:rsid w:val="00DC0D7D"/>
    <w:rsid w:val="00DD2E33"/>
    <w:rsid w:val="00DE1793"/>
    <w:rsid w:val="00DE2979"/>
    <w:rsid w:val="00DE4EF2"/>
    <w:rsid w:val="00DF2C0E"/>
    <w:rsid w:val="00DF6460"/>
    <w:rsid w:val="00E00EFA"/>
    <w:rsid w:val="00E02458"/>
    <w:rsid w:val="00E03216"/>
    <w:rsid w:val="00E04DB6"/>
    <w:rsid w:val="00E06FFB"/>
    <w:rsid w:val="00E1301C"/>
    <w:rsid w:val="00E17510"/>
    <w:rsid w:val="00E22C5F"/>
    <w:rsid w:val="00E30155"/>
    <w:rsid w:val="00E5029B"/>
    <w:rsid w:val="00E55759"/>
    <w:rsid w:val="00E6362E"/>
    <w:rsid w:val="00E7213A"/>
    <w:rsid w:val="00E73BB3"/>
    <w:rsid w:val="00E75231"/>
    <w:rsid w:val="00E75EF5"/>
    <w:rsid w:val="00E763C9"/>
    <w:rsid w:val="00E825F8"/>
    <w:rsid w:val="00E91FE1"/>
    <w:rsid w:val="00E95AF5"/>
    <w:rsid w:val="00EA5E95"/>
    <w:rsid w:val="00EB444A"/>
    <w:rsid w:val="00EB4A11"/>
    <w:rsid w:val="00ED4954"/>
    <w:rsid w:val="00EE0943"/>
    <w:rsid w:val="00EE33A2"/>
    <w:rsid w:val="00EE7BF0"/>
    <w:rsid w:val="00EF184C"/>
    <w:rsid w:val="00EF2692"/>
    <w:rsid w:val="00F04845"/>
    <w:rsid w:val="00F070E6"/>
    <w:rsid w:val="00F14C04"/>
    <w:rsid w:val="00F210B7"/>
    <w:rsid w:val="00F27C85"/>
    <w:rsid w:val="00F4433C"/>
    <w:rsid w:val="00F51162"/>
    <w:rsid w:val="00F53B75"/>
    <w:rsid w:val="00F572C3"/>
    <w:rsid w:val="00F6445C"/>
    <w:rsid w:val="00F67A1C"/>
    <w:rsid w:val="00F731EC"/>
    <w:rsid w:val="00F82750"/>
    <w:rsid w:val="00F82C5B"/>
    <w:rsid w:val="00F84B81"/>
    <w:rsid w:val="00F8555F"/>
    <w:rsid w:val="00F971B1"/>
    <w:rsid w:val="00FB5268"/>
    <w:rsid w:val="00FC7D64"/>
    <w:rsid w:val="00FD7B28"/>
    <w:rsid w:val="00FE53E7"/>
    <w:rsid w:val="00FE5773"/>
    <w:rsid w:val="00FF011A"/>
    <w:rsid w:val="06C66381"/>
    <w:rsid w:val="191B6943"/>
    <w:rsid w:val="23990B57"/>
    <w:rsid w:val="2791491B"/>
    <w:rsid w:val="2DD25A76"/>
    <w:rsid w:val="3074014F"/>
    <w:rsid w:val="4581689A"/>
    <w:rsid w:val="49AB7AEA"/>
    <w:rsid w:val="49E648F9"/>
    <w:rsid w:val="58921710"/>
    <w:rsid w:val="5A7D779F"/>
    <w:rsid w:val="63A6486D"/>
    <w:rsid w:val="69A13339"/>
    <w:rsid w:val="69B36616"/>
    <w:rsid w:val="6AF025BD"/>
    <w:rsid w:val="78524CD6"/>
    <w:rsid w:val="7B4A1E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08FB029"/>
  <w15:chartTrackingRefBased/>
  <w15:docId w15:val="{234FC3B5-E5EF-45B1-B6E9-B1A17DC6B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caption" w:semiHidden="1" w:unhideWhenUsed="1" w:qFormat="1"/>
    <w:lsdException w:name="footnote reference" w:semiHidden="1"/>
    <w:lsdException w:name="annotation reference"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character" w:customStyle="1" w:styleId="HeaderChar">
    <w:name w:val="Header Char"/>
    <w:link w:val="Header"/>
    <w:rPr>
      <w:rFonts w:ascii="Arial" w:hAnsi="Arial"/>
      <w:b/>
      <w:sz w:val="18"/>
      <w:lang w:val="en-US" w:eastAsia="en-US"/>
    </w:rPr>
  </w:style>
  <w:style w:type="character" w:customStyle="1" w:styleId="msoins0">
    <w:name w:val="msoins"/>
    <w:basedOn w:val="DefaultParagraphFont"/>
  </w:style>
  <w:style w:type="character" w:customStyle="1" w:styleId="ZGSM">
    <w:name w:val="ZGSM"/>
  </w:style>
  <w:style w:type="paragraph" w:styleId="ListBullet4">
    <w:name w:val="List Bullet 4"/>
    <w:basedOn w:val="ListBullet3"/>
    <w:pPr>
      <w:ind w:left="1418"/>
    </w:pPr>
  </w:style>
  <w:style w:type="paragraph" w:styleId="ListBullet">
    <w:name w:val="List Bullet"/>
    <w:basedOn w:val="List"/>
    <w:pPr>
      <w:ind w:left="0" w:firstLine="0"/>
    </w:pPr>
  </w:style>
  <w:style w:type="paragraph" w:styleId="ListNumber2">
    <w:name w:val="List Number 2"/>
    <w:basedOn w:val="ListNumber"/>
    <w:pPr>
      <w:ind w:left="851"/>
    </w:pPr>
  </w:style>
  <w:style w:type="paragraph" w:styleId="TOC7">
    <w:name w:val="toc 7"/>
    <w:basedOn w:val="TOC6"/>
    <w:next w:val="Normal"/>
    <w:semiHidden/>
    <w:pPr>
      <w:ind w:left="2268" w:hanging="2268"/>
    </w:pPr>
  </w:style>
  <w:style w:type="paragraph" w:styleId="ListNumber">
    <w:name w:val="List Number"/>
    <w:basedOn w:val="List"/>
    <w:pPr>
      <w:ind w:left="0" w:firstLine="0"/>
    </w:pPr>
  </w:style>
  <w:style w:type="paragraph" w:styleId="List3">
    <w:name w:val="List 3"/>
    <w:basedOn w:val="List2"/>
    <w:pPr>
      <w:ind w:left="1135"/>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H6">
    <w:name w:val="H6"/>
    <w:basedOn w:val="Heading5"/>
    <w:next w:val="Normal"/>
    <w:pPr>
      <w:ind w:left="1985" w:hanging="1985"/>
      <w:outlineLvl w:val="9"/>
    </w:pPr>
    <w:rPr>
      <w:sz w:val="20"/>
    </w:rPr>
  </w:style>
  <w:style w:type="paragraph" w:styleId="Index1">
    <w:name w:val="index 1"/>
    <w:basedOn w:val="Normal"/>
    <w:semiHidden/>
    <w:pPr>
      <w:keepLines/>
      <w:spacing w:after="0"/>
    </w:pPr>
  </w:style>
  <w:style w:type="paragraph" w:customStyle="1" w:styleId="B3">
    <w:name w:val="B3"/>
    <w:basedOn w:val="List3"/>
  </w:style>
  <w:style w:type="paragraph" w:customStyle="1" w:styleId="TT">
    <w:name w:val="TT"/>
    <w:basedOn w:val="Heading1"/>
    <w:next w:val="Normal"/>
    <w:pPr>
      <w:outlineLvl w:val="9"/>
    </w:pPr>
  </w:style>
  <w:style w:type="paragraph" w:customStyle="1" w:styleId="ZH">
    <w:name w:val="ZH"/>
    <w:pPr>
      <w:framePr w:wrap="notBeside" w:vAnchor="page" w:hAnchor="margin" w:xAlign="center" w:y="6805"/>
      <w:widowControl w:val="0"/>
    </w:pPr>
    <w:rPr>
      <w:rFonts w:ascii="Arial" w:hAnsi="Arial"/>
      <w:lang w:val="en-GB" w:eastAsia="en-US"/>
    </w:rPr>
  </w:style>
  <w:style w:type="paragraph" w:styleId="TOC4">
    <w:name w:val="toc 4"/>
    <w:basedOn w:val="TOC3"/>
    <w:semiHidden/>
    <w:pPr>
      <w:ind w:left="1418" w:hanging="1418"/>
    </w:pPr>
  </w:style>
  <w:style w:type="paragraph" w:styleId="List2">
    <w:name w:val="List 2"/>
    <w:basedOn w:val="List"/>
    <w:pPr>
      <w:ind w:left="851"/>
    </w:pPr>
  </w:style>
  <w:style w:type="paragraph" w:styleId="Header">
    <w:name w:val="header"/>
    <w:link w:val="HeaderChar"/>
    <w:pPr>
      <w:widowControl w:val="0"/>
    </w:pPr>
    <w:rPr>
      <w:rFonts w:ascii="Arial" w:hAnsi="Arial"/>
      <w:b/>
      <w:sz w:val="18"/>
      <w:lang w:val="en-GB" w:eastAsia="en-US"/>
    </w:rPr>
  </w:style>
  <w:style w:type="paragraph" w:styleId="ListBullet3">
    <w:name w:val="List Bullet 3"/>
    <w:basedOn w:val="ListBullet2"/>
    <w:pPr>
      <w:ind w:left="1135"/>
    </w:pPr>
  </w:style>
  <w:style w:type="paragraph" w:styleId="TOC2">
    <w:name w:val="toc 2"/>
    <w:basedOn w:val="TOC1"/>
    <w:semiHidden/>
    <w:pPr>
      <w:keepNext w:val="0"/>
      <w:spacing w:before="0"/>
      <w:ind w:left="851" w:hanging="851"/>
    </w:pPr>
    <w:rPr>
      <w:sz w:val="20"/>
    </w:rPr>
  </w:style>
  <w:style w:type="paragraph" w:styleId="List">
    <w:name w:val="List"/>
    <w:basedOn w:val="Normal"/>
    <w:pPr>
      <w:ind w:left="568" w:hanging="284"/>
    </w:p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List4">
    <w:name w:val="List 4"/>
    <w:basedOn w:val="List3"/>
    <w:pPr>
      <w:ind w:left="1418"/>
    </w:pPr>
  </w:style>
  <w:style w:type="paragraph" w:styleId="List5">
    <w:name w:val="List 5"/>
    <w:basedOn w:val="List4"/>
    <w:pPr>
      <w:ind w:left="1702"/>
    </w:pPr>
  </w:style>
  <w:style w:type="paragraph" w:styleId="CommentText">
    <w:name w:val="annotation text"/>
    <w:basedOn w:val="Normal"/>
    <w:link w:val="CommentTextChar"/>
    <w:semiHidden/>
  </w:style>
  <w:style w:type="paragraph" w:styleId="TOC3">
    <w:name w:val="toc 3"/>
    <w:basedOn w:val="TOC2"/>
    <w:semiHidden/>
    <w:pPr>
      <w:ind w:left="1134" w:hanging="1134"/>
    </w:pPr>
  </w:style>
  <w:style w:type="paragraph" w:styleId="TOC8">
    <w:name w:val="toc 8"/>
    <w:basedOn w:val="TOC1"/>
    <w:semiHidden/>
    <w:pPr>
      <w:spacing w:before="180"/>
      <w:ind w:left="2693" w:hanging="2693"/>
    </w:pPr>
    <w:rPr>
      <w:b/>
    </w:rPr>
  </w:style>
  <w:style w:type="paragraph" w:styleId="ListBullet2">
    <w:name w:val="List Bullet 2"/>
    <w:basedOn w:val="ListBullet"/>
    <w:pPr>
      <w:ind w:left="851"/>
    </w:pPr>
  </w:style>
  <w:style w:type="paragraph" w:styleId="BalloonText">
    <w:name w:val="Balloon Text"/>
    <w:basedOn w:val="Normal"/>
    <w:semiHidden/>
    <w:rPr>
      <w:rFonts w:ascii="Tahoma" w:hAnsi="Tahoma" w:cs="Tahoma"/>
      <w:sz w:val="16"/>
      <w:szCs w:val="16"/>
    </w:rPr>
  </w:style>
  <w:style w:type="paragraph" w:styleId="ListBullet5">
    <w:name w:val="List Bullet 5"/>
    <w:basedOn w:val="ListBullet4"/>
    <w:pPr>
      <w:ind w:left="1702"/>
    </w:pPr>
  </w:style>
  <w:style w:type="paragraph" w:styleId="Footer">
    <w:name w:val="footer"/>
    <w:basedOn w:val="Header"/>
    <w:pPr>
      <w:jc w:val="center"/>
    </w:pPr>
    <w:rPr>
      <w:i/>
    </w:rPr>
  </w:style>
  <w:style w:type="paragraph" w:styleId="TOC9">
    <w:name w:val="toc 9"/>
    <w:basedOn w:val="TOC8"/>
    <w:semiHidden/>
    <w:pPr>
      <w:ind w:left="1418" w:hanging="1418"/>
    </w:pPr>
  </w:style>
  <w:style w:type="paragraph" w:styleId="FootnoteText">
    <w:name w:val="footnote text"/>
    <w:basedOn w:val="Normal"/>
    <w:semiHidden/>
    <w:pPr>
      <w:keepLines/>
      <w:spacing w:after="0"/>
      <w:ind w:left="454" w:hanging="454"/>
    </w:pPr>
    <w:rPr>
      <w:sz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lang w:val="en-US" w:eastAsia="zh-CN"/>
    </w:rPr>
  </w:style>
  <w:style w:type="paragraph" w:styleId="Index2">
    <w:name w:val="index 2"/>
    <w:basedOn w:val="Index1"/>
    <w:semiHidden/>
    <w:pPr>
      <w:ind w:left="284"/>
    </w:pPr>
  </w:style>
  <w:style w:type="paragraph" w:customStyle="1" w:styleId="NW">
    <w:name w:val="NW"/>
    <w:basedOn w:val="NO"/>
    <w:pPr>
      <w:spacing w:after="0"/>
    </w:pPr>
  </w:style>
  <w:style w:type="paragraph" w:customStyle="1" w:styleId="tdoc-header">
    <w:name w:val="tdoc-header"/>
    <w:rPr>
      <w:rFonts w:ascii="Arial" w:hAnsi="Arial"/>
      <w:sz w:val="24"/>
      <w:lang w:val="en-GB" w:eastAsia="en-US"/>
    </w:rPr>
  </w:style>
  <w:style w:type="paragraph" w:customStyle="1" w:styleId="TAL">
    <w:name w:val="TAL"/>
    <w:basedOn w:val="Normal"/>
    <w:pPr>
      <w:keepNext/>
      <w:keepLines/>
      <w:spacing w:after="0"/>
    </w:pPr>
    <w:rPr>
      <w:rFonts w:ascii="Arial" w:hAnsi="Arial"/>
      <w:sz w:val="18"/>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EditorsNote">
    <w:name w:val="Editor's Note"/>
    <w:aliases w:val="EN"/>
    <w:basedOn w:val="NO"/>
    <w:link w:val="EditorsNoteCharChar"/>
    <w:qFormat/>
    <w:rPr>
      <w:color w:val="FF0000"/>
    </w:rPr>
  </w:style>
  <w:style w:type="paragraph" w:customStyle="1" w:styleId="TF">
    <w:name w:val="TF"/>
    <w:basedOn w:val="TH"/>
    <w:link w:val="TFChar"/>
    <w:qFormat/>
    <w:pPr>
      <w:keepNext w:val="0"/>
      <w:spacing w:before="0" w:after="240"/>
    </w:pPr>
  </w:style>
  <w:style w:type="paragraph" w:customStyle="1" w:styleId="TAC">
    <w:name w:val="TAC"/>
    <w:basedOn w:val="TAL"/>
    <w:pPr>
      <w:jc w:val="center"/>
    </w:pPr>
  </w:style>
  <w:style w:type="paragraph" w:customStyle="1" w:styleId="EQ">
    <w:name w:val="EQ"/>
    <w:basedOn w:val="Normal"/>
    <w:next w:val="Normal"/>
    <w:pPr>
      <w:keepLines/>
      <w:tabs>
        <w:tab w:val="center" w:pos="4536"/>
        <w:tab w:val="right" w:pos="9072"/>
      </w:tabs>
    </w:pPr>
    <w:rPr>
      <w:lang w:val="en-US" w:eastAsia="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EX">
    <w:name w:val="EX"/>
    <w:basedOn w:val="Normal"/>
    <w:pPr>
      <w:keepLines/>
      <w:ind w:left="1702" w:hanging="1418"/>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NO">
    <w:name w:val="NO"/>
    <w:basedOn w:val="Normal"/>
    <w:link w:val="NOZchn"/>
    <w:qFormat/>
    <w:pPr>
      <w:keepLines/>
      <w:ind w:left="1135" w:hanging="851"/>
    </w:pPr>
  </w:style>
  <w:style w:type="paragraph" w:styleId="ListParagraph">
    <w:name w:val="List Paragraph"/>
    <w:basedOn w:val="Normal"/>
    <w:uiPriority w:val="34"/>
    <w:qFormat/>
    <w:pPr>
      <w:ind w:left="720"/>
      <w:contextualSpacing/>
    </w:pPr>
  </w:style>
  <w:style w:type="paragraph" w:customStyle="1" w:styleId="EW">
    <w:name w:val="EW"/>
    <w:basedOn w:val="EX"/>
    <w:pPr>
      <w:spacing w:after="0"/>
    </w:pPr>
  </w:style>
  <w:style w:type="paragraph" w:customStyle="1" w:styleId="TAN">
    <w:name w:val="TAN"/>
    <w:basedOn w:val="TAL"/>
    <w:pPr>
      <w:ind w:left="851" w:hanging="851"/>
    </w:pPr>
  </w:style>
  <w:style w:type="paragraph" w:customStyle="1" w:styleId="Reference">
    <w:name w:val="Reference"/>
    <w:basedOn w:val="Normal"/>
    <w:pPr>
      <w:tabs>
        <w:tab w:val="left" w:pos="851"/>
      </w:tabs>
      <w:ind w:left="851" w:hanging="851"/>
    </w:pPr>
  </w:style>
  <w:style w:type="paragraph" w:customStyle="1" w:styleId="FP">
    <w:name w:val="FP"/>
    <w:basedOn w:val="Normal"/>
    <w:pPr>
      <w:spacing w:after="0"/>
    </w:pPr>
  </w:style>
  <w:style w:type="paragraph" w:customStyle="1" w:styleId="TAH">
    <w:name w:val="TAH"/>
    <w:basedOn w:val="TAC"/>
    <w:rPr>
      <w:b/>
    </w:rPr>
  </w:style>
  <w:style w:type="paragraph" w:customStyle="1" w:styleId="B2">
    <w:name w:val="B2"/>
    <w:basedOn w:val="List2"/>
    <w:link w:val="B2Char"/>
  </w:style>
  <w:style w:type="paragraph" w:customStyle="1" w:styleId="TAR">
    <w:name w:val="TAR"/>
    <w:basedOn w:val="TAL"/>
    <w:pPr>
      <w:jc w:val="right"/>
    </w:pPr>
  </w:style>
  <w:style w:type="paragraph" w:customStyle="1" w:styleId="ZTD">
    <w:name w:val="ZTD"/>
    <w:basedOn w:val="ZB"/>
    <w:pPr>
      <w:framePr w:hRule="auto" w:wrap="notBeside" w:y="852"/>
    </w:pPr>
    <w:rPr>
      <w:i w:val="0"/>
      <w:sz w:val="40"/>
    </w:rPr>
  </w:style>
  <w:style w:type="paragraph" w:customStyle="1" w:styleId="LD">
    <w:name w:val="LD"/>
    <w:pPr>
      <w:keepNext/>
      <w:keepLines/>
      <w:spacing w:line="180" w:lineRule="exact"/>
    </w:pPr>
    <w:rPr>
      <w:rFonts w:ascii="MS LineDraw" w:hAnsi="MS LineDraw"/>
      <w:lang w:val="en-GB" w:eastAsia="en-US"/>
    </w:rPr>
  </w:style>
  <w:style w:type="paragraph" w:customStyle="1" w:styleId="NF">
    <w:name w:val="NF"/>
    <w:basedOn w:val="NO"/>
    <w:pPr>
      <w:keepNext/>
      <w:spacing w:after="0"/>
    </w:pPr>
    <w:rPr>
      <w:rFonts w:ascii="Arial" w:hAnsi="Arial"/>
      <w:sz w:val="18"/>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1">
    <w:name w:val="B1"/>
    <w:basedOn w:val="List"/>
    <w:link w:val="B1Char"/>
    <w:qFormat/>
  </w:style>
  <w:style w:type="paragraph" w:customStyle="1" w:styleId="B4">
    <w:name w:val="B4"/>
    <w:basedOn w:val="List4"/>
  </w:style>
  <w:style w:type="paragraph" w:customStyle="1" w:styleId="B5">
    <w:name w:val="B5"/>
    <w:basedOn w:val="List5"/>
  </w:style>
  <w:style w:type="paragraph" w:customStyle="1" w:styleId="CRCoverPage">
    <w:name w:val="CR Cover Page"/>
    <w:pPr>
      <w:spacing w:after="120"/>
    </w:pPr>
    <w:rPr>
      <w:rFonts w:ascii="Arial" w:hAnsi="Arial"/>
      <w:lang w:val="en-GB" w:eastAsia="en-US"/>
    </w:rPr>
  </w:style>
  <w:style w:type="character" w:customStyle="1" w:styleId="B1Char">
    <w:name w:val="B1 Char"/>
    <w:link w:val="B1"/>
    <w:qFormat/>
    <w:rsid w:val="00D51EB8"/>
    <w:rPr>
      <w:rFonts w:ascii="Times New Roman" w:hAnsi="Times New Roman"/>
      <w:lang w:val="en-GB" w:eastAsia="en-US"/>
    </w:rPr>
  </w:style>
  <w:style w:type="character" w:customStyle="1" w:styleId="B2Char">
    <w:name w:val="B2 Char"/>
    <w:link w:val="B2"/>
    <w:qFormat/>
    <w:rsid w:val="00E02458"/>
    <w:rPr>
      <w:rFonts w:ascii="Times New Roman" w:hAnsi="Times New Roman"/>
      <w:lang w:val="en-GB" w:eastAsia="en-US"/>
    </w:rPr>
  </w:style>
  <w:style w:type="paragraph" w:styleId="CommentSubject">
    <w:name w:val="annotation subject"/>
    <w:basedOn w:val="CommentText"/>
    <w:next w:val="CommentText"/>
    <w:link w:val="CommentSubjectChar"/>
    <w:rsid w:val="0075474E"/>
    <w:rPr>
      <w:b/>
      <w:bCs/>
    </w:rPr>
  </w:style>
  <w:style w:type="character" w:customStyle="1" w:styleId="CommentTextChar">
    <w:name w:val="Comment Text Char"/>
    <w:link w:val="CommentText"/>
    <w:semiHidden/>
    <w:rsid w:val="0075474E"/>
    <w:rPr>
      <w:rFonts w:ascii="Times New Roman" w:hAnsi="Times New Roman"/>
      <w:lang w:val="en-GB" w:eastAsia="en-US"/>
    </w:rPr>
  </w:style>
  <w:style w:type="character" w:customStyle="1" w:styleId="CommentSubjectChar">
    <w:name w:val="Comment Subject Char"/>
    <w:link w:val="CommentSubject"/>
    <w:rsid w:val="0075474E"/>
    <w:rPr>
      <w:rFonts w:ascii="Times New Roman" w:hAnsi="Times New Roman"/>
      <w:b/>
      <w:bCs/>
      <w:lang w:val="en-GB" w:eastAsia="en-US"/>
    </w:rPr>
  </w:style>
  <w:style w:type="paragraph" w:styleId="NormalWeb">
    <w:name w:val="Normal (Web)"/>
    <w:basedOn w:val="Normal"/>
    <w:uiPriority w:val="99"/>
    <w:unhideWhenUsed/>
    <w:rsid w:val="00EF2692"/>
    <w:pPr>
      <w:spacing w:before="100" w:beforeAutospacing="1" w:after="100" w:afterAutospacing="1"/>
    </w:pPr>
    <w:rPr>
      <w:rFonts w:eastAsia="Times New Roman"/>
      <w:sz w:val="24"/>
      <w:szCs w:val="24"/>
      <w:lang w:val="sv-SE" w:eastAsia="sv-SE"/>
    </w:rPr>
  </w:style>
  <w:style w:type="character" w:customStyle="1" w:styleId="NOZchn">
    <w:name w:val="NO Zchn"/>
    <w:link w:val="NO"/>
    <w:rsid w:val="00EF2692"/>
    <w:rPr>
      <w:rFonts w:ascii="Times New Roman" w:hAnsi="Times New Roman"/>
      <w:lang w:val="en-GB" w:eastAsia="en-US"/>
    </w:rPr>
  </w:style>
  <w:style w:type="character" w:customStyle="1" w:styleId="TFChar">
    <w:name w:val="TF Char"/>
    <w:link w:val="TF"/>
    <w:qFormat/>
    <w:rsid w:val="00EF2692"/>
    <w:rPr>
      <w:rFonts w:ascii="Arial" w:hAnsi="Arial"/>
      <w:b/>
      <w:lang w:val="en-GB" w:eastAsia="en-US"/>
    </w:rPr>
  </w:style>
  <w:style w:type="character" w:customStyle="1" w:styleId="THChar">
    <w:name w:val="TH Char"/>
    <w:link w:val="TH"/>
    <w:qFormat/>
    <w:rsid w:val="00EF2692"/>
    <w:rPr>
      <w:rFonts w:ascii="Arial" w:hAnsi="Arial"/>
      <w:b/>
      <w:lang w:val="en-GB" w:eastAsia="en-US"/>
    </w:rPr>
  </w:style>
  <w:style w:type="character" w:customStyle="1" w:styleId="NOChar">
    <w:name w:val="NO Char"/>
    <w:qFormat/>
    <w:locked/>
    <w:rsid w:val="00813FD6"/>
    <w:rPr>
      <w:rFonts w:eastAsia="Times New Roman"/>
      <w:lang w:eastAsia="en-US"/>
    </w:rPr>
  </w:style>
  <w:style w:type="character" w:customStyle="1" w:styleId="TFChar1">
    <w:name w:val="TF Char1"/>
    <w:rsid w:val="00813FD6"/>
    <w:rPr>
      <w:rFonts w:ascii="Arial" w:eastAsia="Times New Roman" w:hAnsi="Arial"/>
      <w:b/>
      <w:lang w:eastAsia="en-US"/>
    </w:rPr>
  </w:style>
  <w:style w:type="character" w:customStyle="1" w:styleId="EditorsNoteCharChar">
    <w:name w:val="Editor's Note Char Char"/>
    <w:link w:val="EditorsNote"/>
    <w:rsid w:val="00F4433C"/>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19450">
      <w:bodyDiv w:val="1"/>
      <w:marLeft w:val="0"/>
      <w:marRight w:val="0"/>
      <w:marTop w:val="0"/>
      <w:marBottom w:val="0"/>
      <w:divBdr>
        <w:top w:val="none" w:sz="0" w:space="0" w:color="auto"/>
        <w:left w:val="none" w:sz="0" w:space="0" w:color="auto"/>
        <w:bottom w:val="none" w:sz="0" w:space="0" w:color="auto"/>
        <w:right w:val="none" w:sz="0" w:space="0" w:color="auto"/>
      </w:divBdr>
    </w:div>
    <w:div w:id="276303433">
      <w:bodyDiv w:val="1"/>
      <w:marLeft w:val="0"/>
      <w:marRight w:val="0"/>
      <w:marTop w:val="0"/>
      <w:marBottom w:val="0"/>
      <w:divBdr>
        <w:top w:val="none" w:sz="0" w:space="0" w:color="auto"/>
        <w:left w:val="none" w:sz="0" w:space="0" w:color="auto"/>
        <w:bottom w:val="none" w:sz="0" w:space="0" w:color="auto"/>
        <w:right w:val="none" w:sz="0" w:space="0" w:color="auto"/>
      </w:divBdr>
    </w:div>
    <w:div w:id="308637577">
      <w:bodyDiv w:val="1"/>
      <w:marLeft w:val="0"/>
      <w:marRight w:val="0"/>
      <w:marTop w:val="0"/>
      <w:marBottom w:val="0"/>
      <w:divBdr>
        <w:top w:val="none" w:sz="0" w:space="0" w:color="auto"/>
        <w:left w:val="none" w:sz="0" w:space="0" w:color="auto"/>
        <w:bottom w:val="none" w:sz="0" w:space="0" w:color="auto"/>
        <w:right w:val="none" w:sz="0" w:space="0" w:color="auto"/>
      </w:divBdr>
    </w:div>
    <w:div w:id="320890494">
      <w:bodyDiv w:val="1"/>
      <w:marLeft w:val="0"/>
      <w:marRight w:val="0"/>
      <w:marTop w:val="0"/>
      <w:marBottom w:val="0"/>
      <w:divBdr>
        <w:top w:val="none" w:sz="0" w:space="0" w:color="auto"/>
        <w:left w:val="none" w:sz="0" w:space="0" w:color="auto"/>
        <w:bottom w:val="none" w:sz="0" w:space="0" w:color="auto"/>
        <w:right w:val="none" w:sz="0" w:space="0" w:color="auto"/>
      </w:divBdr>
    </w:div>
    <w:div w:id="1083843835">
      <w:bodyDiv w:val="1"/>
      <w:marLeft w:val="0"/>
      <w:marRight w:val="0"/>
      <w:marTop w:val="0"/>
      <w:marBottom w:val="0"/>
      <w:divBdr>
        <w:top w:val="none" w:sz="0" w:space="0" w:color="auto"/>
        <w:left w:val="none" w:sz="0" w:space="0" w:color="auto"/>
        <w:bottom w:val="none" w:sz="0" w:space="0" w:color="auto"/>
        <w:right w:val="none" w:sz="0" w:space="0" w:color="auto"/>
      </w:divBdr>
    </w:div>
    <w:div w:id="1126851121">
      <w:bodyDiv w:val="1"/>
      <w:marLeft w:val="0"/>
      <w:marRight w:val="0"/>
      <w:marTop w:val="0"/>
      <w:marBottom w:val="0"/>
      <w:divBdr>
        <w:top w:val="none" w:sz="0" w:space="0" w:color="auto"/>
        <w:left w:val="none" w:sz="0" w:space="0" w:color="auto"/>
        <w:bottom w:val="none" w:sz="0" w:space="0" w:color="auto"/>
        <w:right w:val="none" w:sz="0" w:space="0" w:color="auto"/>
      </w:divBdr>
    </w:div>
    <w:div w:id="1180972966">
      <w:bodyDiv w:val="1"/>
      <w:marLeft w:val="0"/>
      <w:marRight w:val="0"/>
      <w:marTop w:val="0"/>
      <w:marBottom w:val="0"/>
      <w:divBdr>
        <w:top w:val="none" w:sz="0" w:space="0" w:color="auto"/>
        <w:left w:val="none" w:sz="0" w:space="0" w:color="auto"/>
        <w:bottom w:val="none" w:sz="0" w:space="0" w:color="auto"/>
        <w:right w:val="none" w:sz="0" w:space="0" w:color="auto"/>
      </w:divBdr>
    </w:div>
    <w:div w:id="1718629305">
      <w:bodyDiv w:val="1"/>
      <w:marLeft w:val="0"/>
      <w:marRight w:val="0"/>
      <w:marTop w:val="0"/>
      <w:marBottom w:val="0"/>
      <w:divBdr>
        <w:top w:val="none" w:sz="0" w:space="0" w:color="auto"/>
        <w:left w:val="none" w:sz="0" w:space="0" w:color="auto"/>
        <w:bottom w:val="none" w:sz="0" w:space="0" w:color="auto"/>
        <w:right w:val="none" w:sz="0" w:space="0" w:color="auto"/>
      </w:divBdr>
    </w:div>
    <w:div w:id="2014185501">
      <w:bodyDiv w:val="1"/>
      <w:marLeft w:val="0"/>
      <w:marRight w:val="0"/>
      <w:marTop w:val="0"/>
      <w:marBottom w:val="0"/>
      <w:divBdr>
        <w:top w:val="none" w:sz="0" w:space="0" w:color="auto"/>
        <w:left w:val="none" w:sz="0" w:space="0" w:color="auto"/>
        <w:bottom w:val="none" w:sz="0" w:space="0" w:color="auto"/>
        <w:right w:val="none" w:sz="0" w:space="0" w:color="auto"/>
      </w:divBdr>
    </w:div>
    <w:div w:id="209165958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ADQ376F6HWTR-1074192144-4219</_dlc_DocId>
    <_dlc_DocIdUrl xmlns="4397fad0-70af-449d-b129-6cf6df26877a">
      <Url>https://ericsson.sharepoint.com/sites/SRT/3GPP/_layouts/15/DocIdRedir.aspx?ID=ADQ376F6HWTR-1074192144-4219</Url>
      <Description>ADQ376F6HWTR-1074192144-4219</Description>
    </_dlc_DocIdUrl>
  </documentManagement>
</p:properties>
</file>

<file path=customXml/item5.xml><?xml version="1.0" encoding="utf-8"?>
<LongProperties xmlns="http://schemas.microsoft.com/office/2006/metadata/longProperti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DD89F6C5-08B2-44BE-A0BC-4F3793E60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558A7E-33B8-49EE-86A0-0C0B2CAD3A79}">
  <ds:schemaRefs>
    <ds:schemaRef ds:uri="http://schemas.microsoft.com/sharepoint/events"/>
  </ds:schemaRefs>
</ds:datastoreItem>
</file>

<file path=customXml/itemProps3.xml><?xml version="1.0" encoding="utf-8"?>
<ds:datastoreItem xmlns:ds="http://schemas.openxmlformats.org/officeDocument/2006/customXml" ds:itemID="{560C1131-BF82-4406-9CC0-7F7C7AC49E2D}">
  <ds:schemaRefs>
    <ds:schemaRef ds:uri="http://schemas.microsoft.com/sharepoint/v3/contenttype/forms"/>
  </ds:schemaRefs>
</ds:datastoreItem>
</file>

<file path=customXml/itemProps4.xml><?xml version="1.0" encoding="utf-8"?>
<ds:datastoreItem xmlns:ds="http://schemas.openxmlformats.org/officeDocument/2006/customXml" ds:itemID="{FABCAA42-0F0A-4E44-A318-2E5BC179079F}">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5.xml><?xml version="1.0" encoding="utf-8"?>
<ds:datastoreItem xmlns:ds="http://schemas.openxmlformats.org/officeDocument/2006/customXml" ds:itemID="{0B8E3D5F-61E0-4868-89B9-F983D50AC9E8}">
  <ds:schemaRefs>
    <ds:schemaRef ds:uri="http://schemas.microsoft.com/office/2006/metadata/longProperties"/>
  </ds:schemaRefs>
</ds:datastoreItem>
</file>

<file path=customXml/itemProps6.xml><?xml version="1.0" encoding="utf-8"?>
<ds:datastoreItem xmlns:ds="http://schemas.openxmlformats.org/officeDocument/2006/customXml" ds:itemID="{14E28662-7787-4FD0-9361-7B1414ECD10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1196</Words>
  <Characters>6378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Ericsson3</cp:lastModifiedBy>
  <cp:revision>5</cp:revision>
  <dcterms:created xsi:type="dcterms:W3CDTF">2022-10-03T10:38:00Z</dcterms:created>
  <dcterms:modified xsi:type="dcterms:W3CDTF">2022-10-14T06:32:00Z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KSOProductBuildVer">
    <vt:lpwstr>2052-11.8.2.9022</vt:lpwstr>
  </property>
  <property fmtid="{D5CDD505-2E9C-101B-9397-08002B2CF9AE}" pid="4" name="_dlc_DocId">
    <vt:lpwstr>ADQ376F6HWTR-1074192144-3986</vt:lpwstr>
  </property>
  <property fmtid="{D5CDD505-2E9C-101B-9397-08002B2CF9AE}" pid="5" name="_dlc_DocIdItemGuid">
    <vt:lpwstr>9c92d118-1037-4d68-b05d-c2c6b0742b2c</vt:lpwstr>
  </property>
  <property fmtid="{D5CDD505-2E9C-101B-9397-08002B2CF9AE}" pid="6" name="_dlc_DocIdUrl">
    <vt:lpwstr>https://ericsson.sharepoint.com/sites/SRT/3GPP/_layouts/15/DocIdRedir.aspx?ID=ADQ376F6HWTR-1074192144-3986, ADQ376F6HWTR-1074192144-3986</vt:lpwstr>
  </property>
  <property fmtid="{D5CDD505-2E9C-101B-9397-08002B2CF9AE}" pid="7" name="EriCOLLCategory">
    <vt:lpwstr/>
  </property>
  <property fmtid="{D5CDD505-2E9C-101B-9397-08002B2CF9AE}" pid="8" name="EriCOLLCompetence">
    <vt:lpwstr/>
  </property>
  <property fmtid="{D5CDD505-2E9C-101B-9397-08002B2CF9AE}" pid="9" name="EriCOLLOrganizationUnit">
    <vt:lpwstr/>
  </property>
  <property fmtid="{D5CDD505-2E9C-101B-9397-08002B2CF9AE}" pid="10" name="EriCOLLProjects">
    <vt:lpwstr/>
  </property>
  <property fmtid="{D5CDD505-2E9C-101B-9397-08002B2CF9AE}" pid="11" name="TaxKeyword">
    <vt:lpwstr/>
  </property>
  <property fmtid="{D5CDD505-2E9C-101B-9397-08002B2CF9AE}" pid="12" name="EriCOLLProcess">
    <vt:lpwstr/>
  </property>
  <property fmtid="{D5CDD505-2E9C-101B-9397-08002B2CF9AE}" pid="13" name="EriCOLLProducts">
    <vt:lpwstr/>
  </property>
  <property fmtid="{D5CDD505-2E9C-101B-9397-08002B2CF9AE}" pid="14" name="EriCOLLCustomer">
    <vt:lpwstr/>
  </property>
  <property fmtid="{D5CDD505-2E9C-101B-9397-08002B2CF9AE}" pid="15" name="EriCOLLCountry">
    <vt:lpwstr/>
  </property>
  <property fmtid="{D5CDD505-2E9C-101B-9397-08002B2CF9AE}" pid="16" name="ContentTypeId">
    <vt:lpwstr>0x010100C5F30C9B16E14C8EACE5F2CC7B7AC7F400B95DCD2E749CBC42B65E026B58A7A435</vt:lpwstr>
  </property>
</Properties>
</file>