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3557F" w14:textId="18E3167C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72AF" w:rsidRPr="00CD72AF">
        <w:rPr>
          <w:b/>
          <w:i/>
          <w:noProof/>
          <w:sz w:val="28"/>
        </w:rPr>
        <w:t>S3-214244</w:t>
      </w:r>
    </w:p>
    <w:p w14:paraId="55CF78DE" w14:textId="62ED203C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02CC91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47C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05CCD25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747C7">
        <w:rPr>
          <w:rFonts w:ascii="Arial" w:eastAsia="Batang" w:hAnsi="Arial" w:cs="Arial"/>
          <w:b/>
          <w:lang w:eastAsia="zh-CN"/>
        </w:rPr>
        <w:t>New WID on the security of AMF re-allocation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E13E88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3D49">
        <w:rPr>
          <w:rFonts w:ascii="Arial" w:eastAsia="Batang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D5C006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D3E69">
        <w:t>Security of AMF re-allocation</w:t>
      </w:r>
    </w:p>
    <w:p w14:paraId="289CB42C" w14:textId="7D07AE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1D3E69">
        <w:t>AMFREAL_SEC</w:t>
      </w:r>
    </w:p>
    <w:p w14:paraId="20AE909D" w14:textId="58AAF6D2" w:rsidR="00B078D6" w:rsidRPr="007A1B0A" w:rsidRDefault="00B078D6" w:rsidP="007A1B0A">
      <w:pPr>
        <w:pStyle w:val="Heading8"/>
        <w:rPr>
          <w:sz w:val="22"/>
          <w:szCs w:val="12"/>
        </w:rPr>
      </w:pPr>
      <w:r>
        <w:t>Unique identifier</w:t>
      </w:r>
      <w:r w:rsidR="00F41A27">
        <w:t>:</w:t>
      </w:r>
      <w:r w:rsidR="006C2E80">
        <w:tab/>
      </w:r>
      <w:r w:rsidR="00D31CC8" w:rsidRPr="007A1B0A">
        <w:rPr>
          <w:sz w:val="22"/>
          <w:szCs w:val="12"/>
        </w:rPr>
        <w:t>{</w:t>
      </w:r>
      <w:r w:rsidR="00240DCD" w:rsidRPr="007A1B0A">
        <w:rPr>
          <w:sz w:val="22"/>
          <w:szCs w:val="12"/>
        </w:rPr>
        <w:t>A number</w:t>
      </w:r>
      <w:r w:rsidR="00765028" w:rsidRPr="007A1B0A">
        <w:rPr>
          <w:sz w:val="22"/>
          <w:szCs w:val="12"/>
        </w:rPr>
        <w:t xml:space="preserve"> </w:t>
      </w:r>
      <w:r w:rsidR="00D31CC8" w:rsidRPr="007A1B0A">
        <w:rPr>
          <w:sz w:val="22"/>
          <w:szCs w:val="12"/>
        </w:rPr>
        <w:t xml:space="preserve">to be provided by MCC at the plenary} </w:t>
      </w:r>
    </w:p>
    <w:p w14:paraId="63EE9719" w14:textId="5533110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D3E69" w:rsidRPr="00617549">
        <w:rPr>
          <w:szCs w:val="36"/>
        </w:rPr>
        <w:t>Rel-17</w:t>
      </w:r>
    </w:p>
    <w:p w14:paraId="2D54825D" w14:textId="36485935" w:rsidR="004260A5" w:rsidRDefault="004260A5" w:rsidP="00961990">
      <w:pPr>
        <w:pStyle w:val="Heading1"/>
      </w:pPr>
      <w:r>
        <w:t>1</w:t>
      </w:r>
      <w:r>
        <w:tab/>
      </w:r>
      <w:commentRangeStart w:id="0"/>
      <w:r>
        <w:t>Impacts</w:t>
      </w:r>
      <w:commentRangeEnd w:id="0"/>
      <w:r w:rsidR="005A1B3A">
        <w:rPr>
          <w:rStyle w:val="CommentReference"/>
          <w:rFonts w:ascii="Times New Roman" w:hAnsi="Times New Roman"/>
          <w:color w:val="000000"/>
        </w:rPr>
        <w:commentReference w:id="0"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6BD0F44" w:rsidR="004260A5" w:rsidRDefault="00CB187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42C2006" w:rsidR="004260A5" w:rsidRDefault="00CB187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5D4F2549" w:rsidR="004260A5" w:rsidRDefault="00CB187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4056385D" w:rsidR="004260A5" w:rsidRDefault="00CB187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71ACC33" w:rsidR="00A36378" w:rsidRPr="00A36378" w:rsidRDefault="00A36378" w:rsidP="0096199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A18AD3F" w:rsidR="004876B9" w:rsidRDefault="0096199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4C9242FF" w:rsidR="002944FD" w:rsidRPr="009A6092" w:rsidRDefault="004876B9" w:rsidP="0096199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6DDA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21EFE21" w:rsidR="00566DDA" w:rsidRDefault="00566DDA" w:rsidP="00566DDA">
            <w:pPr>
              <w:pStyle w:val="TAL"/>
            </w:pPr>
            <w:r>
              <w:t>FS_AMFREAL_SEC</w:t>
            </w:r>
          </w:p>
        </w:tc>
        <w:tc>
          <w:tcPr>
            <w:tcW w:w="1101" w:type="dxa"/>
          </w:tcPr>
          <w:p w14:paraId="6AE820B7" w14:textId="6A080430" w:rsidR="00566DDA" w:rsidRDefault="00566DDA" w:rsidP="00566DDA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50959B39" w:rsidR="00566DDA" w:rsidRDefault="00566DDA" w:rsidP="00566DDA">
            <w:pPr>
              <w:pStyle w:val="TAL"/>
            </w:pPr>
            <w:r w:rsidRPr="003520EB">
              <w:t>890014</w:t>
            </w:r>
          </w:p>
        </w:tc>
        <w:tc>
          <w:tcPr>
            <w:tcW w:w="6010" w:type="dxa"/>
          </w:tcPr>
          <w:p w14:paraId="24E5739B" w14:textId="1670C83B" w:rsidR="00566DDA" w:rsidRPr="00251D80" w:rsidRDefault="00566DDA" w:rsidP="00566DDA">
            <w:pPr>
              <w:pStyle w:val="TAL"/>
            </w:pPr>
            <w:r w:rsidRPr="003520EB">
              <w:t>Study on the security of AMF re-allocation</w:t>
            </w:r>
          </w:p>
        </w:tc>
      </w:tr>
    </w:tbl>
    <w:p w14:paraId="7C3FBD77" w14:textId="77777777" w:rsidR="004876B9" w:rsidRDefault="004876B9" w:rsidP="006C2E80"/>
    <w:p w14:paraId="2932921C" w14:textId="3E3E0B9F" w:rsidR="00746F46" w:rsidRPr="006C2E80" w:rsidRDefault="004876B9" w:rsidP="00566DDA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lastRenderedPageBreak/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3A4F77F" w:rsidR="006C2E80" w:rsidRPr="006C2E80" w:rsidRDefault="00566DDA" w:rsidP="006C2E80">
      <w:r>
        <w:t xml:space="preserve">The study of the security of AMF re-allocation has captured the results in the TR 33.864. The study includes one key issue for the security handling of indirect AMF re-allocation. The TR 33.864 includes </w:t>
      </w:r>
      <w:r w:rsidR="0040048B">
        <w:rPr>
          <w:highlight w:val="yellow"/>
        </w:rPr>
        <w:t>12</w:t>
      </w:r>
      <w:r w:rsidRPr="007D1232">
        <w:rPr>
          <w:highlight w:val="yellow"/>
        </w:rPr>
        <w:t xml:space="preserve"> solutions.</w:t>
      </w:r>
      <w:r>
        <w:t xml:space="preserve"> The study has concluded in specifying normative work for </w:t>
      </w:r>
      <w:r w:rsidRPr="00284474">
        <w:rPr>
          <w:highlight w:val="yellow"/>
        </w:rPr>
        <w:t>solution</w:t>
      </w:r>
      <w:r>
        <w:rPr>
          <w:highlight w:val="yellow"/>
        </w:rPr>
        <w:t>(s)</w:t>
      </w:r>
      <w:r w:rsidRPr="00284474">
        <w:rPr>
          <w:highlight w:val="yellow"/>
        </w:rPr>
        <w:t xml:space="preserve"> #X</w:t>
      </w:r>
      <w:r w:rsidRPr="00DC494B">
        <w:rPr>
          <w:highlight w:val="yellow"/>
        </w:rPr>
        <w:t>, #Y, #Z</w:t>
      </w:r>
      <w:r>
        <w:t xml:space="preserve"> and a work item is needed to specify the security behaviour of the system upon AMF re-allocation.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E623F64" w14:textId="77777777" w:rsidR="00566DDA" w:rsidRDefault="00566DDA" w:rsidP="00566DDA">
      <w:r>
        <w:t xml:space="preserve">The objective of the work item is the specification of necessary network </w:t>
      </w:r>
      <w:r w:rsidRPr="00DC494B">
        <w:rPr>
          <w:highlight w:val="yellow"/>
        </w:rPr>
        <w:t>&lt;as well as UE&gt;</w:t>
      </w:r>
      <w:r>
        <w:t xml:space="preserve"> behaviour for avoiding the issue of persistent registration failure upon AMF re-allocation.  More specifically the following changes are expected to be specified as a result of this work item: </w:t>
      </w:r>
    </w:p>
    <w:p w14:paraId="3A269521" w14:textId="77777777" w:rsidR="00566DDA" w:rsidRDefault="00566DDA" w:rsidP="00566DDA">
      <w:pPr>
        <w:pStyle w:val="B1"/>
      </w:pPr>
      <w:r>
        <w:t>-</w:t>
      </w:r>
      <w:r>
        <w:tab/>
        <w:t xml:space="preserve">Changes to the NAS procedures for the indirect re-allocation affecting the AMF </w:t>
      </w:r>
      <w:r w:rsidRPr="00D14EF8">
        <w:rPr>
          <w:highlight w:val="yellow"/>
        </w:rPr>
        <w:t>&lt;as well as UE</w:t>
      </w:r>
      <w:r>
        <w:rPr>
          <w:highlight w:val="yellow"/>
        </w:rPr>
        <w:t>&gt;</w:t>
      </w:r>
      <w:r w:rsidRPr="00076F74">
        <w:t xml:space="preserve"> NAS handling.</w:t>
      </w:r>
      <w:r>
        <w:t xml:space="preserve">  </w:t>
      </w:r>
    </w:p>
    <w:p w14:paraId="7533D67F" w14:textId="77777777" w:rsidR="00566DDA" w:rsidRDefault="00566DDA" w:rsidP="00566DDA">
      <w:pPr>
        <w:pStyle w:val="B1"/>
      </w:pPr>
      <w:r>
        <w:t>-</w:t>
      </w:r>
      <w:r>
        <w:tab/>
      </w:r>
      <w:r w:rsidRPr="00CA5148">
        <w:rPr>
          <w:highlight w:val="yellow"/>
        </w:rPr>
        <w:t>&lt;</w:t>
      </w:r>
      <w:r w:rsidRPr="00E243D3">
        <w:rPr>
          <w:highlight w:val="yellow"/>
        </w:rPr>
        <w:t>Changes in</w:t>
      </w:r>
      <w:r>
        <w:rPr>
          <w:highlight w:val="yellow"/>
        </w:rPr>
        <w:t xml:space="preserve"> the 5GC </w:t>
      </w:r>
      <w:r w:rsidRPr="00CA5148">
        <w:rPr>
          <w:highlight w:val="yellow"/>
        </w:rPr>
        <w:t>here depending on the chosen solution(s)&gt;</w:t>
      </w:r>
      <w:r>
        <w:t xml:space="preserve"> </w:t>
      </w:r>
    </w:p>
    <w:p w14:paraId="60EE3485" w14:textId="77777777" w:rsidR="00E243D3" w:rsidRDefault="00566DDA" w:rsidP="00D31E6C">
      <w:pPr>
        <w:pStyle w:val="B1"/>
      </w:pPr>
      <w:r>
        <w:t>-</w:t>
      </w:r>
      <w:r>
        <w:tab/>
      </w:r>
      <w:r w:rsidRPr="00CA5148">
        <w:rPr>
          <w:highlight w:val="yellow"/>
        </w:rPr>
        <w:t xml:space="preserve">&lt;Changes to the </w:t>
      </w:r>
      <w:r>
        <w:rPr>
          <w:highlight w:val="yellow"/>
        </w:rPr>
        <w:t xml:space="preserve">NGAP </w:t>
      </w:r>
      <w:r w:rsidRPr="00CA5148">
        <w:rPr>
          <w:highlight w:val="yellow"/>
        </w:rPr>
        <w:t>procedures</w:t>
      </w:r>
      <w:r>
        <w:rPr>
          <w:highlight w:val="yellow"/>
        </w:rPr>
        <w:t xml:space="preserve"> </w:t>
      </w:r>
      <w:r w:rsidRPr="00CA5148">
        <w:rPr>
          <w:highlight w:val="yellow"/>
        </w:rPr>
        <w:t>&gt;</w:t>
      </w:r>
      <w:r>
        <w:t xml:space="preserve"> </w:t>
      </w:r>
    </w:p>
    <w:p w14:paraId="157F3CB1" w14:textId="190A75B4" w:rsidR="006C2E80" w:rsidRPr="006C2E80" w:rsidRDefault="00E243D3" w:rsidP="00D31E6C">
      <w:pPr>
        <w:pStyle w:val="B1"/>
      </w:pPr>
      <w:r>
        <w:t>-</w:t>
      </w:r>
      <w:r>
        <w:tab/>
      </w:r>
      <w:r w:rsidR="00566DDA" w:rsidRPr="00CA5148">
        <w:rPr>
          <w:highlight w:val="yellow"/>
        </w:rPr>
        <w:t>&lt;</w:t>
      </w:r>
      <w:r w:rsidR="00566DDA" w:rsidRPr="00E243D3">
        <w:rPr>
          <w:highlight w:val="yellow"/>
        </w:rPr>
        <w:t>Changes to</w:t>
      </w:r>
      <w:r w:rsidR="00566DDA" w:rsidRPr="00CA5148">
        <w:rPr>
          <w:highlight w:val="yellow"/>
        </w:rPr>
        <w:t xml:space="preserve"> the </w:t>
      </w:r>
      <w:r w:rsidR="00566DDA">
        <w:rPr>
          <w:highlight w:val="yellow"/>
        </w:rPr>
        <w:t xml:space="preserve">RAN </w:t>
      </w:r>
      <w:r w:rsidR="00566DDA" w:rsidRPr="00CA5148">
        <w:rPr>
          <w:highlight w:val="yellow"/>
        </w:rPr>
        <w:t>procedures &gt;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8CE248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C853702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F0AADE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67BD588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C36A442" w14:textId="46EF1D99" w:rsidR="00D30F29" w:rsidRPr="006C2E80" w:rsidRDefault="00D30F29" w:rsidP="00D30F29">
            <w:pPr>
              <w:pStyle w:val="Guidance"/>
              <w:spacing w:after="0"/>
            </w:pPr>
          </w:p>
          <w:p w14:paraId="47484899" w14:textId="65F9C09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5E4F5391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commentRangeStart w:id="1"/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commentRangeEnd w:id="1"/>
            <w:r w:rsidR="00E26DC4">
              <w:rPr>
                <w:rStyle w:val="CommentReference"/>
                <w:rFonts w:ascii="Times New Roman" w:hAnsi="Times New Roman"/>
                <w:b w:val="0"/>
              </w:rPr>
              <w:commentReference w:id="1"/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42E35E2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BD60A2D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DB111F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D0A6EF2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CD1F71D" w:rsidR="006C2E80" w:rsidRPr="006C2E80" w:rsidRDefault="00743EE1" w:rsidP="006C2E80">
      <w:r>
        <w:t>Tsiatsis, Vlasios, Ericsson, vlasios.tsiatsis@ericsson.com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F38F768" w:rsidR="006E1FDA" w:rsidRPr="006C2E80" w:rsidRDefault="00743EE1" w:rsidP="00743EE1">
      <w:r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F01DB1F" w14:textId="77777777" w:rsidR="00743EE1" w:rsidRPr="00A72C19" w:rsidRDefault="00743EE1" w:rsidP="00743EE1">
      <w:r w:rsidRPr="00A72C19">
        <w:t>CT4 for the specification of the network behaviour</w:t>
      </w:r>
    </w:p>
    <w:p w14:paraId="4CDD53C1" w14:textId="50B5B58C" w:rsidR="006C2E80" w:rsidRPr="00557B2E" w:rsidRDefault="00743EE1" w:rsidP="00743EE1">
      <w:pPr>
        <w:pStyle w:val="Guidance"/>
      </w:pPr>
      <w:r w:rsidRPr="007D1232">
        <w:rPr>
          <w:highlight w:val="yellow"/>
        </w:rPr>
        <w:t>&lt;CT1 for the specification of the UE behaviour &gt;</w:t>
      </w:r>
    </w:p>
    <w:p w14:paraId="10A04A29" w14:textId="5FB27299" w:rsidR="0033027D" w:rsidRPr="006C2E80" w:rsidRDefault="00872B3B" w:rsidP="007C41A9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8FCB9F4" w:rsidR="00557B2E" w:rsidRDefault="00C91848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Author" w:initials="A">
    <w:p w14:paraId="4C351E55" w14:textId="27EBE916" w:rsidR="005A1B3A" w:rsidRDefault="005A1B3A">
      <w:pPr>
        <w:pStyle w:val="CommentText"/>
      </w:pPr>
      <w:r>
        <w:rPr>
          <w:rStyle w:val="CommentReference"/>
        </w:rPr>
        <w:annotationRef/>
      </w:r>
      <w:r>
        <w:t>Depends on the conclusions</w:t>
      </w:r>
    </w:p>
  </w:comment>
  <w:comment w:id="1" w:author="Author" w:initials="A">
    <w:p w14:paraId="48792788" w14:textId="0CC468A7" w:rsidR="00E26DC4" w:rsidRDefault="00E26DC4">
      <w:pPr>
        <w:pStyle w:val="CommentText"/>
      </w:pPr>
      <w:r>
        <w:rPr>
          <w:rStyle w:val="CommentReference"/>
        </w:rPr>
        <w:annotationRef/>
      </w:r>
      <w:r>
        <w:t>Depends on the conclusions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351E55" w15:done="0"/>
  <w15:commentEx w15:paraId="4879278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351E55" w16cid:durableId="2524639D"/>
  <w16cid:commentId w16cid:paraId="48792788" w16cid:durableId="252464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3D08E" w14:textId="77777777" w:rsidR="00383EAE" w:rsidRDefault="00383EAE">
      <w:r>
        <w:separator/>
      </w:r>
    </w:p>
  </w:endnote>
  <w:endnote w:type="continuationSeparator" w:id="0">
    <w:p w14:paraId="368C351A" w14:textId="77777777" w:rsidR="00383EAE" w:rsidRDefault="0038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6E878" w14:textId="77777777" w:rsidR="00383EAE" w:rsidRDefault="00383EAE">
      <w:r>
        <w:separator/>
      </w:r>
    </w:p>
  </w:footnote>
  <w:footnote w:type="continuationSeparator" w:id="0">
    <w:p w14:paraId="11463824" w14:textId="77777777" w:rsidR="00383EAE" w:rsidRDefault="00383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2D6E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3E69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740F"/>
    <w:rsid w:val="00383EAE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48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3AC0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6DDA"/>
    <w:rsid w:val="00571E3F"/>
    <w:rsid w:val="00574059"/>
    <w:rsid w:val="00586951"/>
    <w:rsid w:val="00590087"/>
    <w:rsid w:val="005A032D"/>
    <w:rsid w:val="005A1B3A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7549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D1C4A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3EE1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1B0A"/>
    <w:rsid w:val="007A5AA5"/>
    <w:rsid w:val="007A6136"/>
    <w:rsid w:val="007B0F49"/>
    <w:rsid w:val="007C41A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199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4DA3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80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848"/>
    <w:rsid w:val="00CA0968"/>
    <w:rsid w:val="00CA168E"/>
    <w:rsid w:val="00CB0647"/>
    <w:rsid w:val="00CB1873"/>
    <w:rsid w:val="00CB1E5D"/>
    <w:rsid w:val="00CB4236"/>
    <w:rsid w:val="00CC72A4"/>
    <w:rsid w:val="00CD3153"/>
    <w:rsid w:val="00CD72AF"/>
    <w:rsid w:val="00CF6810"/>
    <w:rsid w:val="00D06117"/>
    <w:rsid w:val="00D21FAC"/>
    <w:rsid w:val="00D30F29"/>
    <w:rsid w:val="00D31CC8"/>
    <w:rsid w:val="00D31E6C"/>
    <w:rsid w:val="00D32678"/>
    <w:rsid w:val="00D521C1"/>
    <w:rsid w:val="00D53D49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43D3"/>
    <w:rsid w:val="00E26DC4"/>
    <w:rsid w:val="00E418DE"/>
    <w:rsid w:val="00E52C57"/>
    <w:rsid w:val="00E57E7D"/>
    <w:rsid w:val="00E747C7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1B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1B3A"/>
  </w:style>
  <w:style w:type="character" w:customStyle="1" w:styleId="CommentTextChar">
    <w:name w:val="Comment Text Char"/>
    <w:basedOn w:val="DefaultParagraphFont"/>
    <w:link w:val="CommentText"/>
    <w:rsid w:val="005A1B3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A1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1B3A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2021-11-01T12:46:00Z</dcterms:created>
  <dcterms:modified xsi:type="dcterms:W3CDTF">2021-11-01T12:46:00Z</dcterms:modified>
</cp:coreProperties>
</file>