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0EC4E" w14:textId="19DC6274" w:rsidR="004234B2" w:rsidRDefault="00D60F98">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sidR="004B4CE9">
        <w:rPr>
          <w:b/>
          <w:sz w:val="24"/>
        </w:rPr>
        <w:t>7</w:t>
      </w:r>
      <w:r>
        <w:rPr>
          <w:b/>
          <w:i/>
          <w:sz w:val="28"/>
        </w:rPr>
        <w:tab/>
      </w:r>
      <w:r>
        <w:rPr>
          <w:b/>
          <w:iCs/>
          <w:sz w:val="28"/>
        </w:rPr>
        <w:t>S2-2</w:t>
      </w:r>
      <w:r>
        <w:rPr>
          <w:b/>
          <w:iCs/>
          <w:sz w:val="28"/>
          <w:lang w:val="en-US"/>
        </w:rPr>
        <w:t>50</w:t>
      </w:r>
      <w:r w:rsidR="00567A88">
        <w:rPr>
          <w:b/>
          <w:iCs/>
          <w:sz w:val="28"/>
          <w:lang w:val="en-US"/>
        </w:rPr>
        <w:t>1781</w:t>
      </w:r>
    </w:p>
    <w:p w14:paraId="2E5671C9" w14:textId="0A313971" w:rsidR="004234B2" w:rsidRDefault="004B4CE9" w:rsidP="00B857B2">
      <w:pPr>
        <w:pStyle w:val="CRCoverPage"/>
        <w:tabs>
          <w:tab w:val="right" w:pos="9639"/>
        </w:tabs>
        <w:outlineLvl w:val="0"/>
        <w:rPr>
          <w:rFonts w:cs="Arial"/>
          <w:b/>
          <w:bCs/>
          <w:sz w:val="24"/>
        </w:rPr>
      </w:pPr>
      <w:r>
        <w:rPr>
          <w:rFonts w:cs="Arial"/>
          <w:b/>
          <w:bCs/>
          <w:sz w:val="24"/>
          <w:lang w:val="en-US"/>
        </w:rPr>
        <w:t>Athens, Greece</w:t>
      </w:r>
      <w:r w:rsidR="00D60F98">
        <w:rPr>
          <w:rFonts w:cs="Arial"/>
          <w:b/>
          <w:bCs/>
          <w:sz w:val="24"/>
        </w:rPr>
        <w:t xml:space="preserve">, </w:t>
      </w:r>
      <w:r>
        <w:rPr>
          <w:rFonts w:cs="Arial"/>
          <w:b/>
          <w:bCs/>
          <w:sz w:val="24"/>
        </w:rPr>
        <w:t>Feburary</w:t>
      </w:r>
      <w:r w:rsidR="00D60F98">
        <w:rPr>
          <w:rFonts w:cs="Arial"/>
          <w:b/>
          <w:bCs/>
          <w:sz w:val="24"/>
        </w:rPr>
        <w:t xml:space="preserve"> </w:t>
      </w:r>
      <w:r>
        <w:rPr>
          <w:rFonts w:cs="Arial"/>
          <w:b/>
          <w:bCs/>
          <w:sz w:val="24"/>
        </w:rPr>
        <w:t>17</w:t>
      </w:r>
      <w:r w:rsidR="00D60F98">
        <w:rPr>
          <w:rFonts w:cs="Arial"/>
          <w:b/>
          <w:bCs/>
          <w:sz w:val="24"/>
          <w:lang w:val="en-US"/>
        </w:rPr>
        <w:t>-2</w:t>
      </w:r>
      <w:r>
        <w:rPr>
          <w:rFonts w:cs="Arial"/>
          <w:b/>
          <w:bCs/>
          <w:sz w:val="24"/>
          <w:lang w:val="en-US"/>
        </w:rPr>
        <w:t>1</w:t>
      </w:r>
      <w:r w:rsidR="00D60F98">
        <w:rPr>
          <w:rFonts w:cs="Arial"/>
          <w:b/>
          <w:bCs/>
          <w:sz w:val="24"/>
          <w:lang w:val="en-US"/>
        </w:rPr>
        <w:t>,</w:t>
      </w:r>
      <w:r w:rsidR="00D60F98">
        <w:rPr>
          <w:rFonts w:cs="Arial"/>
          <w:b/>
          <w:bCs/>
          <w:sz w:val="24"/>
        </w:rPr>
        <w:t xml:space="preserve"> 2025</w:t>
      </w:r>
      <w:r w:rsidR="00B857B2">
        <w:rPr>
          <w:rFonts w:cs="Arial"/>
          <w:b/>
          <w:bCs/>
          <w:sz w:val="24"/>
        </w:rPr>
        <w:tab/>
      </w:r>
      <w:r w:rsidR="00D60F98">
        <w:rPr>
          <w:rFonts w:cs="Arial"/>
          <w:b/>
          <w:bCs/>
          <w:color w:val="0000FF"/>
          <w:lang w:val="en-US"/>
        </w:rPr>
        <w:t>Revision of S2-2</w:t>
      </w:r>
      <w:r w:rsidR="00930608">
        <w:rPr>
          <w:rFonts w:cs="Arial" w:hint="eastAsia"/>
          <w:b/>
          <w:bCs/>
          <w:color w:val="0000FF"/>
          <w:lang w:val="en-US" w:eastAsia="zh-CN"/>
        </w:rPr>
        <w:t>50</w:t>
      </w:r>
      <w:r w:rsidRPr="004B4CE9">
        <w:rPr>
          <w:rFonts w:cs="Arial"/>
          <w:b/>
          <w:bCs/>
          <w:color w:val="0000FF"/>
          <w:lang w:val="en-US" w:eastAsia="zh-CN"/>
        </w:rPr>
        <w:t>1113</w:t>
      </w:r>
    </w:p>
    <w:tbl>
      <w:tblPr>
        <w:tblW w:w="1928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gridCol w:w="9641"/>
      </w:tblGrid>
      <w:tr w:rsidR="00567A88" w14:paraId="5A0B7B71" w14:textId="5174D463" w:rsidTr="00567A88">
        <w:tc>
          <w:tcPr>
            <w:tcW w:w="9641" w:type="dxa"/>
            <w:gridSpan w:val="9"/>
            <w:tcBorders>
              <w:top w:val="single" w:sz="4" w:space="0" w:color="auto"/>
              <w:left w:val="single" w:sz="4" w:space="0" w:color="auto"/>
              <w:right w:val="single" w:sz="4" w:space="0" w:color="auto"/>
            </w:tcBorders>
          </w:tcPr>
          <w:p w14:paraId="4557F2D4" w14:textId="77777777" w:rsidR="00567A88" w:rsidRDefault="00567A88">
            <w:pPr>
              <w:pStyle w:val="CRCoverPage"/>
              <w:spacing w:after="0"/>
              <w:jc w:val="right"/>
              <w:rPr>
                <w:i/>
              </w:rPr>
            </w:pPr>
            <w:r>
              <w:rPr>
                <w:i/>
                <w:sz w:val="14"/>
              </w:rPr>
              <w:t>CR-Form-v12.2</w:t>
            </w:r>
          </w:p>
        </w:tc>
        <w:tc>
          <w:tcPr>
            <w:tcW w:w="9641" w:type="dxa"/>
            <w:tcBorders>
              <w:top w:val="single" w:sz="4" w:space="0" w:color="auto"/>
              <w:left w:val="single" w:sz="4" w:space="0" w:color="auto"/>
              <w:right w:val="single" w:sz="4" w:space="0" w:color="auto"/>
            </w:tcBorders>
          </w:tcPr>
          <w:p w14:paraId="0A04AE6A" w14:textId="77777777" w:rsidR="00567A88" w:rsidRDefault="00567A88">
            <w:pPr>
              <w:pStyle w:val="CRCoverPage"/>
              <w:spacing w:after="0"/>
              <w:jc w:val="right"/>
              <w:rPr>
                <w:i/>
                <w:sz w:val="14"/>
              </w:rPr>
            </w:pPr>
          </w:p>
        </w:tc>
      </w:tr>
      <w:tr w:rsidR="00567A88" w14:paraId="5415A565" w14:textId="70A3D7D2" w:rsidTr="00567A88">
        <w:tc>
          <w:tcPr>
            <w:tcW w:w="9641" w:type="dxa"/>
            <w:gridSpan w:val="9"/>
            <w:tcBorders>
              <w:left w:val="single" w:sz="4" w:space="0" w:color="auto"/>
              <w:right w:val="single" w:sz="4" w:space="0" w:color="auto"/>
            </w:tcBorders>
          </w:tcPr>
          <w:p w14:paraId="058B8262" w14:textId="77777777" w:rsidR="00567A88" w:rsidRDefault="00567A88">
            <w:pPr>
              <w:pStyle w:val="CRCoverPage"/>
              <w:spacing w:after="0"/>
              <w:jc w:val="center"/>
            </w:pPr>
            <w:r>
              <w:rPr>
                <w:b/>
                <w:sz w:val="32"/>
              </w:rPr>
              <w:t>CHANGE REQUEST</w:t>
            </w:r>
          </w:p>
        </w:tc>
        <w:tc>
          <w:tcPr>
            <w:tcW w:w="9641" w:type="dxa"/>
            <w:tcBorders>
              <w:left w:val="single" w:sz="4" w:space="0" w:color="auto"/>
              <w:right w:val="single" w:sz="4" w:space="0" w:color="auto"/>
            </w:tcBorders>
          </w:tcPr>
          <w:p w14:paraId="589B7FC9" w14:textId="77777777" w:rsidR="00567A88" w:rsidRDefault="00567A88">
            <w:pPr>
              <w:pStyle w:val="CRCoverPage"/>
              <w:spacing w:after="0"/>
              <w:jc w:val="center"/>
              <w:rPr>
                <w:b/>
                <w:sz w:val="32"/>
              </w:rPr>
            </w:pPr>
          </w:p>
        </w:tc>
      </w:tr>
      <w:tr w:rsidR="00567A88" w14:paraId="36388F71" w14:textId="60821C75" w:rsidTr="00567A88">
        <w:tc>
          <w:tcPr>
            <w:tcW w:w="9641" w:type="dxa"/>
            <w:gridSpan w:val="9"/>
            <w:tcBorders>
              <w:left w:val="single" w:sz="4" w:space="0" w:color="auto"/>
              <w:right w:val="single" w:sz="4" w:space="0" w:color="auto"/>
            </w:tcBorders>
          </w:tcPr>
          <w:p w14:paraId="5D76EB95" w14:textId="77777777" w:rsidR="00567A88" w:rsidRDefault="00567A88">
            <w:pPr>
              <w:pStyle w:val="CRCoverPage"/>
              <w:spacing w:after="0"/>
              <w:rPr>
                <w:sz w:val="8"/>
                <w:szCs w:val="8"/>
              </w:rPr>
            </w:pPr>
          </w:p>
        </w:tc>
        <w:tc>
          <w:tcPr>
            <w:tcW w:w="9641" w:type="dxa"/>
            <w:tcBorders>
              <w:left w:val="single" w:sz="4" w:space="0" w:color="auto"/>
              <w:right w:val="single" w:sz="4" w:space="0" w:color="auto"/>
            </w:tcBorders>
          </w:tcPr>
          <w:p w14:paraId="7A8A978E" w14:textId="77777777" w:rsidR="00567A88" w:rsidRDefault="00567A88">
            <w:pPr>
              <w:pStyle w:val="CRCoverPage"/>
              <w:spacing w:after="0"/>
              <w:rPr>
                <w:sz w:val="8"/>
                <w:szCs w:val="8"/>
              </w:rPr>
            </w:pPr>
          </w:p>
        </w:tc>
      </w:tr>
      <w:tr w:rsidR="00567A88" w14:paraId="5082FDD5" w14:textId="31E527BC" w:rsidTr="00567A88">
        <w:tc>
          <w:tcPr>
            <w:tcW w:w="142" w:type="dxa"/>
            <w:tcBorders>
              <w:left w:val="single" w:sz="4" w:space="0" w:color="auto"/>
            </w:tcBorders>
          </w:tcPr>
          <w:p w14:paraId="32E3B380" w14:textId="77777777" w:rsidR="00567A88" w:rsidRDefault="00567A88">
            <w:pPr>
              <w:pStyle w:val="CRCoverPage"/>
              <w:spacing w:after="0"/>
              <w:jc w:val="right"/>
            </w:pPr>
          </w:p>
        </w:tc>
        <w:tc>
          <w:tcPr>
            <w:tcW w:w="1559" w:type="dxa"/>
            <w:shd w:val="pct30" w:color="FFFF00" w:fill="auto"/>
          </w:tcPr>
          <w:p w14:paraId="6469F9FC" w14:textId="77777777" w:rsidR="00567A88" w:rsidRDefault="00567A88">
            <w:pPr>
              <w:pStyle w:val="CRCoverPage"/>
              <w:spacing w:after="0"/>
              <w:jc w:val="right"/>
              <w:rPr>
                <w:b/>
                <w:sz w:val="28"/>
              </w:rPr>
            </w:pPr>
            <w:r>
              <w:rPr>
                <w:b/>
                <w:sz w:val="28"/>
              </w:rPr>
              <w:t>23.501</w:t>
            </w:r>
          </w:p>
        </w:tc>
        <w:tc>
          <w:tcPr>
            <w:tcW w:w="709" w:type="dxa"/>
          </w:tcPr>
          <w:p w14:paraId="50A81322" w14:textId="77777777" w:rsidR="00567A88" w:rsidRDefault="00567A88">
            <w:pPr>
              <w:pStyle w:val="CRCoverPage"/>
              <w:spacing w:after="0"/>
              <w:jc w:val="center"/>
            </w:pPr>
            <w:r>
              <w:rPr>
                <w:b/>
                <w:sz w:val="28"/>
              </w:rPr>
              <w:t>CR</w:t>
            </w:r>
          </w:p>
        </w:tc>
        <w:tc>
          <w:tcPr>
            <w:tcW w:w="1276" w:type="dxa"/>
            <w:shd w:val="pct30" w:color="FFFF00" w:fill="auto"/>
          </w:tcPr>
          <w:p w14:paraId="5AF2F058" w14:textId="77777777" w:rsidR="00567A88" w:rsidRDefault="00567A88">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567A88" w:rsidRDefault="00567A88">
            <w:pPr>
              <w:pStyle w:val="CRCoverPage"/>
              <w:tabs>
                <w:tab w:val="right" w:pos="625"/>
              </w:tabs>
              <w:spacing w:after="0"/>
              <w:jc w:val="center"/>
            </w:pPr>
            <w:r>
              <w:rPr>
                <w:b/>
                <w:bCs/>
                <w:sz w:val="28"/>
              </w:rPr>
              <w:t>rev</w:t>
            </w:r>
          </w:p>
        </w:tc>
        <w:tc>
          <w:tcPr>
            <w:tcW w:w="992" w:type="dxa"/>
            <w:shd w:val="pct30" w:color="FFFF00" w:fill="auto"/>
          </w:tcPr>
          <w:p w14:paraId="24671190" w14:textId="7A3C136B" w:rsidR="00567A88" w:rsidRDefault="00567A88">
            <w:pPr>
              <w:pStyle w:val="CRCoverPage"/>
              <w:spacing w:after="0"/>
              <w:jc w:val="center"/>
              <w:rPr>
                <w:b/>
                <w:lang w:eastAsia="zh-CN"/>
              </w:rPr>
            </w:pPr>
            <w:r>
              <w:rPr>
                <w:b/>
                <w:sz w:val="28"/>
                <w:lang w:val="en-US" w:eastAsia="zh-CN"/>
              </w:rPr>
              <w:t>9</w:t>
            </w:r>
          </w:p>
        </w:tc>
        <w:tc>
          <w:tcPr>
            <w:tcW w:w="2410" w:type="dxa"/>
          </w:tcPr>
          <w:p w14:paraId="21199037" w14:textId="77777777" w:rsidR="00567A88" w:rsidRDefault="00567A88">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567A88" w:rsidRDefault="00567A88">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567A88" w:rsidRDefault="00567A88">
            <w:pPr>
              <w:pStyle w:val="CRCoverPage"/>
              <w:spacing w:after="0"/>
            </w:pPr>
          </w:p>
        </w:tc>
        <w:tc>
          <w:tcPr>
            <w:tcW w:w="9641" w:type="dxa"/>
            <w:tcBorders>
              <w:right w:val="single" w:sz="4" w:space="0" w:color="auto"/>
            </w:tcBorders>
          </w:tcPr>
          <w:p w14:paraId="3F322898" w14:textId="77777777" w:rsidR="00567A88" w:rsidRDefault="00567A88">
            <w:pPr>
              <w:pStyle w:val="CRCoverPage"/>
              <w:spacing w:after="0"/>
            </w:pPr>
          </w:p>
        </w:tc>
      </w:tr>
      <w:tr w:rsidR="00567A88" w14:paraId="4F777DA9" w14:textId="024C2C22" w:rsidTr="00567A88">
        <w:tc>
          <w:tcPr>
            <w:tcW w:w="9641" w:type="dxa"/>
            <w:gridSpan w:val="9"/>
            <w:tcBorders>
              <w:left w:val="single" w:sz="4" w:space="0" w:color="auto"/>
              <w:right w:val="single" w:sz="4" w:space="0" w:color="auto"/>
            </w:tcBorders>
          </w:tcPr>
          <w:p w14:paraId="4C50B689" w14:textId="77777777" w:rsidR="00567A88" w:rsidRDefault="00567A88">
            <w:pPr>
              <w:pStyle w:val="CRCoverPage"/>
              <w:spacing w:after="0"/>
            </w:pPr>
          </w:p>
        </w:tc>
        <w:tc>
          <w:tcPr>
            <w:tcW w:w="9641" w:type="dxa"/>
            <w:tcBorders>
              <w:left w:val="single" w:sz="4" w:space="0" w:color="auto"/>
              <w:right w:val="single" w:sz="4" w:space="0" w:color="auto"/>
            </w:tcBorders>
          </w:tcPr>
          <w:p w14:paraId="3F45D0D2" w14:textId="77777777" w:rsidR="00567A88" w:rsidRDefault="00567A88">
            <w:pPr>
              <w:pStyle w:val="CRCoverPage"/>
              <w:spacing w:after="0"/>
            </w:pPr>
          </w:p>
        </w:tc>
      </w:tr>
      <w:tr w:rsidR="00567A88" w14:paraId="021B2934" w14:textId="7468D22B" w:rsidTr="00567A88">
        <w:tc>
          <w:tcPr>
            <w:tcW w:w="9641" w:type="dxa"/>
            <w:gridSpan w:val="9"/>
            <w:tcBorders>
              <w:top w:val="single" w:sz="4" w:space="0" w:color="auto"/>
            </w:tcBorders>
          </w:tcPr>
          <w:p w14:paraId="361C98B5" w14:textId="77777777" w:rsidR="00567A88" w:rsidRDefault="00567A88">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c>
          <w:tcPr>
            <w:tcW w:w="9641" w:type="dxa"/>
            <w:tcBorders>
              <w:top w:val="single" w:sz="4" w:space="0" w:color="auto"/>
            </w:tcBorders>
          </w:tcPr>
          <w:p w14:paraId="7453B035" w14:textId="77777777" w:rsidR="00567A88" w:rsidRDefault="00567A88">
            <w:pPr>
              <w:pStyle w:val="CRCoverPage"/>
              <w:spacing w:after="0"/>
              <w:jc w:val="center"/>
              <w:rPr>
                <w:rFonts w:cs="Arial"/>
                <w:i/>
              </w:rPr>
            </w:pPr>
          </w:p>
        </w:tc>
      </w:tr>
      <w:tr w:rsidR="00567A88" w14:paraId="4A656177" w14:textId="499BD35F" w:rsidTr="00567A88">
        <w:tc>
          <w:tcPr>
            <w:tcW w:w="9641" w:type="dxa"/>
            <w:gridSpan w:val="9"/>
          </w:tcPr>
          <w:p w14:paraId="6708745F" w14:textId="77777777" w:rsidR="00567A88" w:rsidRDefault="00567A88">
            <w:pPr>
              <w:pStyle w:val="CRCoverPage"/>
              <w:spacing w:after="0"/>
              <w:rPr>
                <w:sz w:val="8"/>
                <w:szCs w:val="8"/>
              </w:rPr>
            </w:pPr>
          </w:p>
        </w:tc>
        <w:tc>
          <w:tcPr>
            <w:tcW w:w="9641" w:type="dxa"/>
          </w:tcPr>
          <w:p w14:paraId="7A08AF90" w14:textId="77777777" w:rsidR="00567A88" w:rsidRDefault="00567A88">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D60F98">
            <w:pPr>
              <w:pStyle w:val="CRCoverPage"/>
              <w:tabs>
                <w:tab w:val="right" w:pos="2751"/>
              </w:tabs>
              <w:spacing w:after="0"/>
              <w:rPr>
                <w:b/>
                <w:i/>
              </w:rPr>
            </w:pPr>
            <w:r>
              <w:rPr>
                <w:b/>
                <w:i/>
              </w:rPr>
              <w:t>Proposed change affects:</w:t>
            </w:r>
          </w:p>
        </w:tc>
        <w:tc>
          <w:tcPr>
            <w:tcW w:w="1418" w:type="dxa"/>
          </w:tcPr>
          <w:p w14:paraId="27F835A3" w14:textId="77777777" w:rsidR="004234B2" w:rsidRDefault="00D60F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D60F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D60F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D60F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D60F98">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D60F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D60F98">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D60F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5BB3CDBE" w:rsidR="004234B2" w:rsidRDefault="004B4CE9">
            <w:pPr>
              <w:pStyle w:val="CRCoverPage"/>
              <w:spacing w:after="0"/>
              <w:ind w:left="100"/>
              <w:rPr>
                <w:lang w:val="en-US" w:eastAsia="zh-CN"/>
              </w:rPr>
            </w:pPr>
            <w:r>
              <w:rPr>
                <w:lang w:val="en-US" w:eastAsia="zh-CN"/>
              </w:rPr>
              <w:t>[</w:t>
            </w:r>
            <w:r w:rsidR="00D60F98">
              <w:rPr>
                <w:lang w:val="en-US" w:eastAsia="zh-CN"/>
              </w:rPr>
              <w:t>Tencent, Tencent Cloud, vivo, Lenovo, CMCC, Nokia, Meta, Ericsson</w:t>
            </w:r>
            <w:r>
              <w:rPr>
                <w:lang w:val="en-US" w:eastAsia="zh-CN"/>
              </w:rPr>
              <w:t>], Samsung</w:t>
            </w:r>
          </w:p>
        </w:tc>
      </w:tr>
      <w:tr w:rsidR="004234B2" w14:paraId="3058B660" w14:textId="77777777">
        <w:tc>
          <w:tcPr>
            <w:tcW w:w="1843" w:type="dxa"/>
            <w:tcBorders>
              <w:left w:val="single" w:sz="4" w:space="0" w:color="auto"/>
            </w:tcBorders>
          </w:tcPr>
          <w:p w14:paraId="3D2B7557" w14:textId="77777777" w:rsidR="004234B2" w:rsidRDefault="00D60F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D60F98">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D60F98">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D60F98">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D60F98">
            <w:pPr>
              <w:pStyle w:val="CRCoverPage"/>
              <w:spacing w:after="0"/>
              <w:jc w:val="right"/>
            </w:pPr>
            <w:r>
              <w:rPr>
                <w:b/>
                <w:i/>
              </w:rPr>
              <w:t>Date:</w:t>
            </w:r>
          </w:p>
        </w:tc>
        <w:tc>
          <w:tcPr>
            <w:tcW w:w="2127" w:type="dxa"/>
            <w:tcBorders>
              <w:right w:val="single" w:sz="4" w:space="0" w:color="auto"/>
            </w:tcBorders>
            <w:shd w:val="pct30" w:color="FFFF00" w:fill="auto"/>
          </w:tcPr>
          <w:p w14:paraId="46EC8807" w14:textId="4F2C1493" w:rsidR="004234B2" w:rsidRDefault="00D60F98" w:rsidP="004B4CE9">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sidR="004B4CE9">
              <w:rPr>
                <w:lang w:val="en-US" w:eastAsia="zh-CN"/>
              </w:rPr>
              <w:t>2</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D60F98">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Default="00D60F98">
            <w:pPr>
              <w:pStyle w:val="CRCoverPage"/>
              <w:spacing w:after="0"/>
              <w:ind w:left="100" w:right="-609"/>
              <w:rPr>
                <w:b/>
              </w:rPr>
            </w:pPr>
            <w: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D60F98">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D60F98">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D60F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D60F98">
            <w:pPr>
              <w:pStyle w:val="CRCoverPage"/>
            </w:pPr>
            <w:r>
              <w:rPr>
                <w:sz w:val="18"/>
              </w:rPr>
              <w:t>Detailed explanations of the above categories can</w:t>
            </w:r>
            <w:r>
              <w:rPr>
                <w:sz w:val="18"/>
              </w:rPr>
              <w:br/>
              <w:t xml:space="preserve">be found in 3GPP </w:t>
            </w:r>
            <w:hyperlink r:id="rId9" w:history="1">
              <w:r w:rsidR="004234B2">
                <w:rPr>
                  <w:rStyle w:val="ae"/>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D60F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D60F9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D60F98">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0CB495B0"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PCF may provide rate limiting information to the AF with Nnef_AFsessionWithQoS service and Nnef_EventExposure service.</w:t>
            </w:r>
          </w:p>
          <w:p w14:paraId="06DF3E15"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D60F98">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D60F9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D60F98">
            <w:pPr>
              <w:pStyle w:val="CRCoverPage"/>
              <w:spacing w:after="0"/>
              <w:ind w:left="100"/>
              <w:rPr>
                <w:lang w:eastAsia="zh-CN"/>
              </w:rPr>
            </w:pPr>
            <w:r>
              <w:rPr>
                <w:lang w:val="en-US" w:eastAsia="zh-CN"/>
              </w:rPr>
              <w:t>Add s</w:t>
            </w:r>
            <w:r>
              <w:rPr>
                <w:lang w:eastAsia="zh-CN"/>
              </w:rPr>
              <w:t>upporting</w:t>
            </w:r>
            <w:r>
              <w:rPr>
                <w:lang w:val="en-US" w:eastAsia="zh-CN"/>
              </w:rPr>
              <w:t xml:space="preserve"> of</w:t>
            </w:r>
            <w:r>
              <w:rPr>
                <w:lang w:eastAsia="zh-CN"/>
              </w:rPr>
              <w:t xml:space="preserve"> rate limitation information exposure for Non-GBR QoS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D60F9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D60F98">
            <w:pPr>
              <w:pStyle w:val="CRCoverPage"/>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D60F9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D60F98">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D60F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D60F98">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D60F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4234B2" w:rsidRDefault="00D60F98">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4234B2" w:rsidRDefault="004234B2">
            <w:pPr>
              <w:pStyle w:val="CRCoverPage"/>
              <w:spacing w:after="0"/>
              <w:jc w:val="center"/>
              <w:rPr>
                <w:b/>
                <w:caps/>
              </w:rPr>
            </w:pPr>
          </w:p>
        </w:tc>
        <w:tc>
          <w:tcPr>
            <w:tcW w:w="2977" w:type="dxa"/>
            <w:gridSpan w:val="4"/>
          </w:tcPr>
          <w:p w14:paraId="21CE7CD4" w14:textId="77777777" w:rsidR="004234B2" w:rsidRDefault="00D60F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4234B2" w:rsidRDefault="00D60F98">
            <w:pPr>
              <w:pStyle w:val="CRCoverPage"/>
              <w:spacing w:after="0"/>
              <w:ind w:left="99"/>
            </w:pPr>
            <w:r>
              <w:t>TS 23.503 CR 1381</w:t>
            </w:r>
          </w:p>
        </w:tc>
      </w:tr>
      <w:tr w:rsidR="004234B2" w14:paraId="6AB40BE5" w14:textId="77777777">
        <w:tc>
          <w:tcPr>
            <w:tcW w:w="2694" w:type="dxa"/>
            <w:gridSpan w:val="2"/>
            <w:tcBorders>
              <w:left w:val="single" w:sz="4" w:space="0" w:color="auto"/>
            </w:tcBorders>
          </w:tcPr>
          <w:p w14:paraId="61196A12" w14:textId="77777777" w:rsidR="004234B2" w:rsidRDefault="00D60F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D60F98">
            <w:pPr>
              <w:pStyle w:val="CRCoverPage"/>
              <w:spacing w:after="0"/>
              <w:jc w:val="center"/>
              <w:rPr>
                <w:b/>
                <w:caps/>
              </w:rPr>
            </w:pPr>
            <w:r>
              <w:rPr>
                <w:rFonts w:hint="eastAsia"/>
                <w:b/>
                <w:caps/>
              </w:rPr>
              <w:t>x</w:t>
            </w:r>
          </w:p>
        </w:tc>
        <w:tc>
          <w:tcPr>
            <w:tcW w:w="2977" w:type="dxa"/>
            <w:gridSpan w:val="4"/>
          </w:tcPr>
          <w:p w14:paraId="3B1F6854" w14:textId="77777777" w:rsidR="004234B2" w:rsidRDefault="00D60F98">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D60F98">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D60F9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D60F98">
            <w:pPr>
              <w:pStyle w:val="CRCoverPage"/>
              <w:spacing w:after="0"/>
              <w:jc w:val="center"/>
              <w:rPr>
                <w:b/>
                <w:caps/>
              </w:rPr>
            </w:pPr>
            <w:r>
              <w:rPr>
                <w:rFonts w:hint="eastAsia"/>
                <w:b/>
                <w:caps/>
              </w:rPr>
              <w:t>x</w:t>
            </w:r>
          </w:p>
        </w:tc>
        <w:tc>
          <w:tcPr>
            <w:tcW w:w="2977" w:type="dxa"/>
            <w:gridSpan w:val="4"/>
          </w:tcPr>
          <w:p w14:paraId="4591F8CC" w14:textId="77777777" w:rsidR="004234B2" w:rsidRDefault="00D60F98">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D60F98">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D60F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D60F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348674D7" w:rsidR="004234B2" w:rsidRPr="004B4CE9" w:rsidRDefault="004B4CE9" w:rsidP="004B4CE9">
            <w:pPr>
              <w:pStyle w:val="CRCoverPage"/>
              <w:spacing w:after="0"/>
              <w:ind w:left="100"/>
              <w:rPr>
                <w:rFonts w:eastAsia="맑은 고딕"/>
                <w:lang w:eastAsia="ko-KR"/>
              </w:rPr>
            </w:pPr>
            <w:r>
              <w:rPr>
                <w:rFonts w:eastAsia="맑은 고딕"/>
                <w:lang w:eastAsia="ko-KR"/>
              </w:rPr>
              <w:t>I</w:t>
            </w:r>
            <w:r>
              <w:rPr>
                <w:rFonts w:eastAsia="맑은 고딕" w:hint="eastAsia"/>
                <w:lang w:eastAsia="ko-KR"/>
              </w:rPr>
              <w:t>n R</w:t>
            </w:r>
            <w:r>
              <w:rPr>
                <w:rFonts w:eastAsia="맑은 고딕"/>
                <w:lang w:eastAsia="ko-KR"/>
              </w:rPr>
              <w:t>9, terms are aligned as</w:t>
            </w:r>
            <w:r w:rsidR="006B11C2">
              <w:rPr>
                <w:rFonts w:eastAsia="맑은 고딕"/>
                <w:lang w:eastAsia="ko-KR"/>
              </w:rPr>
              <w:t xml:space="preserve"> </w:t>
            </w:r>
            <w:r w:rsidR="006B11C2">
              <w:rPr>
                <w:rFonts w:eastAsia="맑은 고딕" w:hint="eastAsia"/>
                <w:lang w:eastAsia="ko-KR"/>
              </w:rPr>
              <w:t>e.</w:t>
            </w:r>
            <w:r w:rsidR="006B11C2">
              <w:rPr>
                <w:rFonts w:eastAsia="맑은 고딕"/>
                <w:lang w:eastAsia="ko-KR"/>
              </w:rPr>
              <w:t>g.</w:t>
            </w:r>
            <w:r>
              <w:rPr>
                <w:rFonts w:eastAsia="맑은 고딕"/>
                <w:lang w:eastAsia="ko-KR"/>
              </w:rPr>
              <w:t xml:space="preserve"> ‘data rate limitation’. </w:t>
            </w: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Start w:id="2" w:name="_CR5_18_1"/>
      <w:bookmarkEnd w:id="1"/>
      <w:bookmarkEnd w:id="2"/>
    </w:p>
    <w:p w14:paraId="048768C8" w14:textId="77777777" w:rsidR="004234B2" w:rsidRDefault="00D60F98">
      <w:pPr>
        <w:pStyle w:val="3"/>
      </w:pPr>
      <w:bookmarkStart w:id="3" w:name="_Toc170194426"/>
      <w:r>
        <w:t>5.37.4</w:t>
      </w:r>
      <w:r>
        <w:tab/>
        <w:t>Network Exposure of 5GS information</w:t>
      </w:r>
      <w:bookmarkEnd w:id="3"/>
    </w:p>
    <w:p w14:paraId="2372055F" w14:textId="77777777" w:rsidR="004234B2" w:rsidRDefault="00D60F98">
      <w:pPr>
        <w:rPr>
          <w:lang w:val="en-US" w:eastAsia="zh-CN"/>
        </w:rPr>
      </w:pPr>
      <w:r>
        <w:t>5GS and XR/media services cooperate to provide a better user experience using External Network Exposure.</w:t>
      </w:r>
    </w:p>
    <w:p w14:paraId="6844D8A0" w14:textId="77777777" w:rsidR="004234B2" w:rsidRDefault="00D60F98">
      <w:r>
        <w:t>Based on the AF request, the 5GS can expose the following information based on the QoS Monitoring as defined in clause 5.33.3 and/or clause 5.45:</w:t>
      </w:r>
    </w:p>
    <w:p w14:paraId="343762C8" w14:textId="77777777" w:rsidR="004234B2" w:rsidRDefault="00D60F98">
      <w:pPr>
        <w:pStyle w:val="B1"/>
      </w:pPr>
      <w:r>
        <w:t>-</w:t>
      </w:r>
      <w:r>
        <w:tab/>
        <w:t>The UL and/or DL congestion information monitoring (see clause 5.45.3).</w:t>
      </w:r>
    </w:p>
    <w:p w14:paraId="4BD55D0F" w14:textId="77777777" w:rsidR="004234B2" w:rsidRDefault="00D60F98">
      <w:pPr>
        <w:pStyle w:val="B1"/>
      </w:pPr>
      <w:r>
        <w:tab/>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D60F98">
      <w:pPr>
        <w:pStyle w:val="B1"/>
      </w:pPr>
      <w:r>
        <w:t>-</w:t>
      </w:r>
      <w:r>
        <w:tab/>
        <w:t>The UL and/or DL Data rate information (see clause 5.45.4).</w:t>
      </w:r>
    </w:p>
    <w:p w14:paraId="22984A1D" w14:textId="77777777" w:rsidR="004234B2" w:rsidRDefault="00D60F98">
      <w:pPr>
        <w:pStyle w:val="B1"/>
      </w:pPr>
      <w:r>
        <w:tab/>
        <w:t>Based on the PCC rule from PCF, the SMF requests the PSA UPF to measure and report the information. They may be exposed to the AF directly by PSA UPF via Nupf_EventExposure service or via SMF/PCF/NEF as described in clause 5.8.2.18.</w:t>
      </w:r>
    </w:p>
    <w:p w14:paraId="47600850" w14:textId="77777777" w:rsidR="004234B2" w:rsidRDefault="00D60F98">
      <w:pPr>
        <w:pStyle w:val="B1"/>
      </w:pPr>
      <w:r>
        <w:t>-</w:t>
      </w:r>
      <w:r>
        <w:tab/>
        <w:t>The round trip delay for two service data flows considering the UL direction of a service data flow and the DL direction of another service data flow in the same PDU Session.</w:t>
      </w:r>
    </w:p>
    <w:p w14:paraId="4A2BAD5E" w14:textId="77777777" w:rsidR="004234B2" w:rsidRDefault="00D60F98">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D60F98">
      <w:pPr>
        <w:pStyle w:val="B1"/>
      </w:pPr>
      <w:r>
        <w:t>-</w:t>
      </w:r>
      <w:r>
        <w:tab/>
        <w:t>The round trip delay for one service data flow.</w:t>
      </w:r>
    </w:p>
    <w:p w14:paraId="031A30D5" w14:textId="77777777" w:rsidR="004234B2" w:rsidRDefault="00D60F98">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D60F98">
      <w:pPr>
        <w:pStyle w:val="NO"/>
      </w:pPr>
      <w:r>
        <w:t>NOTE:</w:t>
      </w:r>
      <w:r>
        <w:tab/>
        <w:t>How PCF calculates the requested round trip delay for multiple QoS Flows from delays of individual QoS Flows is not specified in this specification.</w:t>
      </w:r>
    </w:p>
    <w:p w14:paraId="62771044" w14:textId="77777777" w:rsidR="004234B2" w:rsidRPr="00930608" w:rsidRDefault="00D60F98">
      <w:pPr>
        <w:rPr>
          <w:ins w:id="4" w:author="Tencent" w:date="2024-11-08T22:53:00Z"/>
        </w:rPr>
      </w:pPr>
      <w:r w:rsidRPr="00930608">
        <w:t>The AF may provide the Alternative QoS parameter set requirements and Averaging Window to the NEF/PCF for the GBR QoS Flow as specified in clause 4.15.6.6 of TS 23.502 [3].</w:t>
      </w:r>
      <w:bookmarkStart w:id="5" w:name="_GoBack"/>
    </w:p>
    <w:p w14:paraId="6B666B9B" w14:textId="076BC36E" w:rsidR="004234B2" w:rsidRPr="00930608" w:rsidRDefault="00D60F98" w:rsidP="00930608">
      <w:pPr>
        <w:jc w:val="both"/>
        <w:rPr>
          <w:ins w:id="6" w:author="Tencent-SA2#166AHE" w:date="2025-01-17T09:51:00Z"/>
        </w:rPr>
      </w:pPr>
      <w:ins w:id="7" w:author="Tencent" w:date="2024-11-08T22:53:00Z">
        <w:r w:rsidRPr="00930608">
          <w:rPr>
            <w:lang w:val="en-US"/>
          </w:rPr>
          <w:t xml:space="preserve">Upon AF request, 5GS </w:t>
        </w:r>
      </w:ins>
      <w:bookmarkEnd w:id="5"/>
      <w:ins w:id="8" w:author="Tencent-SA2#166AHE" w:date="2025-01-17T15:54:00Z">
        <w:r w:rsidRPr="00930608">
          <w:rPr>
            <w:rFonts w:hint="eastAsia"/>
            <w:lang w:val="en-US" w:eastAsia="zh-CN"/>
          </w:rPr>
          <w:t>may</w:t>
        </w:r>
      </w:ins>
      <w:ins w:id="9" w:author="Tencent" w:date="2024-11-08T22:53:00Z">
        <w:r w:rsidRPr="00930608">
          <w:rPr>
            <w:lang w:val="en-US"/>
          </w:rPr>
          <w:t xml:space="preserve"> expose the </w:t>
        </w:r>
      </w:ins>
      <w:ins w:id="10" w:author="Tencent- Lei Yixue" w:date="2025-01-22T16:57:00Z">
        <w:r w:rsidR="00D22496" w:rsidRPr="00930608">
          <w:rPr>
            <w:lang w:val="en-US"/>
          </w:rPr>
          <w:t xml:space="preserve">data </w:t>
        </w:r>
      </w:ins>
      <w:ins w:id="11" w:author="Tencent" w:date="2024-11-08T22:53:00Z">
        <w:r w:rsidRPr="00930608">
          <w:rPr>
            <w:lang w:val="en-US"/>
          </w:rPr>
          <w:t>rate limitation information</w:t>
        </w:r>
      </w:ins>
      <w:ins w:id="12" w:author="Tencent" w:date="2024-11-21T11:43:00Z">
        <w:r w:rsidRPr="00930608">
          <w:rPr>
            <w:lang w:val="en-US"/>
          </w:rPr>
          <w:t xml:space="preserve"> of non-GBR </w:t>
        </w:r>
      </w:ins>
      <w:ins w:id="13" w:author="Tencent" w:date="2024-11-21T15:36:00Z">
        <w:r w:rsidRPr="00930608">
          <w:rPr>
            <w:lang w:val="en-US"/>
          </w:rPr>
          <w:t>service data</w:t>
        </w:r>
      </w:ins>
      <w:ins w:id="14" w:author="Tencent" w:date="2024-11-21T11:43:00Z">
        <w:r w:rsidRPr="00930608">
          <w:rPr>
            <w:lang w:val="en-US"/>
          </w:rPr>
          <w:t xml:space="preserve"> flow</w:t>
        </w:r>
      </w:ins>
      <w:ins w:id="15" w:author="Tencent" w:date="2024-11-21T15:36:00Z">
        <w:r w:rsidRPr="00930608">
          <w:rPr>
            <w:lang w:val="en-US"/>
          </w:rPr>
          <w:t>(</w:t>
        </w:r>
      </w:ins>
      <w:ins w:id="16" w:author="Tencent" w:date="2024-11-21T11:43:00Z">
        <w:r w:rsidRPr="00930608">
          <w:rPr>
            <w:lang w:val="en-US"/>
          </w:rPr>
          <w:t>s</w:t>
        </w:r>
      </w:ins>
      <w:ins w:id="17" w:author="Tencent" w:date="2024-11-21T15:36:00Z">
        <w:r w:rsidRPr="00930608">
          <w:rPr>
            <w:lang w:val="en-US"/>
          </w:rPr>
          <w:t>)</w:t>
        </w:r>
      </w:ins>
      <w:ins w:id="18" w:author="Tencent" w:date="2024-11-08T22:53:00Z">
        <w:r w:rsidRPr="00930608">
          <w:rPr>
            <w:lang w:val="en-US"/>
          </w:rPr>
          <w:t xml:space="preserve"> to the AF</w:t>
        </w:r>
      </w:ins>
      <w:ins w:id="19" w:author="Tencent" w:date="2024-11-20T14:54:00Z">
        <w:r w:rsidRPr="00930608">
          <w:rPr>
            <w:lang w:val="en-US"/>
          </w:rPr>
          <w:t xml:space="preserve"> which</w:t>
        </w:r>
      </w:ins>
      <w:ins w:id="20" w:author="Tencent" w:date="2024-11-19T10:59:00Z">
        <w:r w:rsidRPr="00930608">
          <w:rPr>
            <w:lang w:val="en-US"/>
          </w:rPr>
          <w:t xml:space="preserve"> </w:t>
        </w:r>
      </w:ins>
      <w:ins w:id="21" w:author="Tencent" w:date="2024-11-20T14:54:00Z">
        <w:r w:rsidRPr="00930608">
          <w:rPr>
            <w:lang w:val="en-US"/>
          </w:rPr>
          <w:t>is</w:t>
        </w:r>
      </w:ins>
      <w:ins w:id="22" w:author="Tencent" w:date="2024-11-19T12:56:00Z">
        <w:r w:rsidRPr="00930608">
          <w:rPr>
            <w:lang w:val="en-US"/>
          </w:rPr>
          <w:t xml:space="preserve"> </w:t>
        </w:r>
      </w:ins>
      <w:ins w:id="23" w:author="Tencent" w:date="2024-11-20T14:52:00Z">
        <w:r w:rsidRPr="00930608">
          <w:rPr>
            <w:lang w:val="en-US"/>
          </w:rPr>
          <w:t>de</w:t>
        </w:r>
      </w:ins>
      <w:ins w:id="24" w:author="Tencent" w:date="2024-11-20T15:55:00Z">
        <w:r w:rsidRPr="00930608">
          <w:rPr>
            <w:lang w:val="en-US"/>
          </w:rPr>
          <w:t>termined</w:t>
        </w:r>
      </w:ins>
      <w:ins w:id="25" w:author="Tencent" w:date="2024-11-20T14:52:00Z">
        <w:r w:rsidRPr="00930608">
          <w:rPr>
            <w:lang w:val="en-US"/>
          </w:rPr>
          <w:t xml:space="preserve"> by the PCF</w:t>
        </w:r>
      </w:ins>
      <w:ins w:id="26" w:author="Tencent" w:date="2024-11-20T15:44:00Z">
        <w:r w:rsidRPr="00930608">
          <w:rPr>
            <w:lang w:val="en-US"/>
          </w:rPr>
          <w:t xml:space="preserve"> </w:t>
        </w:r>
      </w:ins>
      <w:ins w:id="27" w:author="Tencent" w:date="2024-11-21T11:44:00Z">
        <w:r w:rsidRPr="00930608">
          <w:rPr>
            <w:lang w:val="en-US"/>
          </w:rPr>
          <w:t>according to</w:t>
        </w:r>
      </w:ins>
      <w:ins w:id="28" w:author="Tencent" w:date="2024-11-20T15:44:00Z">
        <w:r w:rsidRPr="00930608">
          <w:rPr>
            <w:lang w:val="en-US"/>
          </w:rPr>
          <w:t xml:space="preserve"> local policy</w:t>
        </w:r>
      </w:ins>
      <w:ins w:id="29" w:author="Tencent" w:date="2024-11-20T14:52:00Z">
        <w:r w:rsidRPr="00930608">
          <w:rPr>
            <w:lang w:val="en-US"/>
          </w:rPr>
          <w:t>.</w:t>
        </w:r>
      </w:ins>
      <w:ins w:id="30" w:author="Tencent-SA2#166AHE" w:date="2025-01-17T09:56:00Z">
        <w:r w:rsidRPr="00930608">
          <w:rPr>
            <w:lang w:val="en-US"/>
          </w:rPr>
          <w:t xml:space="preserve">  </w:t>
        </w:r>
        <w:r w:rsidRPr="00930608">
          <w:rPr>
            <w:lang w:val="en-US" w:eastAsia="zh-CN"/>
          </w:rPr>
          <w:t>T</w:t>
        </w:r>
      </w:ins>
      <w:ins w:id="31" w:author="Tencent" w:date="2024-11-20T14:53:00Z">
        <w:r w:rsidRPr="00930608">
          <w:rPr>
            <w:lang w:val="en-US" w:eastAsia="zh-CN"/>
          </w:rPr>
          <w:t xml:space="preserve">he </w:t>
        </w:r>
      </w:ins>
      <w:ins w:id="32" w:author="Tencent-SA2#166AHE" w:date="2025-01-22T09:13:00Z">
        <w:r w:rsidRPr="00930608">
          <w:rPr>
            <w:lang w:val="en-US" w:eastAsia="zh-CN"/>
          </w:rPr>
          <w:t xml:space="preserve">data </w:t>
        </w:r>
      </w:ins>
      <w:ins w:id="33" w:author="Tencent" w:date="2024-11-20T14:53:00Z">
        <w:r w:rsidRPr="00930608">
          <w:rPr>
            <w:lang w:val="en-US" w:eastAsia="zh-CN"/>
          </w:rPr>
          <w:t>rate limitation information</w:t>
        </w:r>
      </w:ins>
      <w:ins w:id="34" w:author="Ericsson (M.L.Mas)" w:date="2024-11-22T16:36:00Z">
        <w:r w:rsidRPr="00930608">
          <w:rPr>
            <w:lang w:val="en-US" w:eastAsia="zh-CN"/>
          </w:rPr>
          <w:t xml:space="preserve"> is</w:t>
        </w:r>
      </w:ins>
      <w:ins w:id="35" w:author="Tencent-SA2#166AHE" w:date="2025-01-17T09:56:00Z">
        <w:r w:rsidRPr="00930608">
          <w:rPr>
            <w:lang w:val="en-US" w:eastAsia="zh-CN"/>
          </w:rPr>
          <w:t xml:space="preserve"> defined as</w:t>
        </w:r>
      </w:ins>
      <w:ins w:id="36" w:author="Tencent" w:date="2024-11-20T14:53:00Z">
        <w:r w:rsidRPr="00930608">
          <w:rPr>
            <w:lang w:val="en-US" w:eastAsia="zh-CN"/>
          </w:rPr>
          <w:t xml:space="preserve"> </w:t>
        </w:r>
      </w:ins>
      <w:ins w:id="37" w:author="Ericsson (M.L.Mas)" w:date="2024-11-22T16:34:00Z">
        <w:r w:rsidRPr="00930608">
          <w:rPr>
            <w:lang w:val="en-US" w:eastAsia="zh-CN"/>
          </w:rPr>
          <w:t xml:space="preserve">the maximum data rate that </w:t>
        </w:r>
      </w:ins>
      <w:ins w:id="38" w:author="Tencent" w:date="2024-11-22T12:09:00Z">
        <w:r w:rsidRPr="00930608">
          <w:rPr>
            <w:lang w:val="en-US" w:eastAsia="zh-CN"/>
          </w:rPr>
          <w:t>can</w:t>
        </w:r>
      </w:ins>
      <w:ins w:id="39" w:author="Tencent" w:date="2024-11-22T12:04:00Z">
        <w:r w:rsidRPr="00930608">
          <w:rPr>
            <w:lang w:val="en-US" w:eastAsia="zh-CN"/>
          </w:rPr>
          <w:t xml:space="preserve"> </w:t>
        </w:r>
      </w:ins>
      <w:ins w:id="40" w:author="Tencent" w:date="2024-11-22T12:18:00Z">
        <w:r w:rsidRPr="00930608">
          <w:rPr>
            <w:lang w:val="en-US" w:eastAsia="zh-CN"/>
          </w:rPr>
          <w:t xml:space="preserve">be </w:t>
        </w:r>
      </w:ins>
      <w:ins w:id="41" w:author="Tencent" w:date="2024-11-22T11:48:00Z">
        <w:r w:rsidRPr="00930608">
          <w:rPr>
            <w:lang w:val="en-US" w:eastAsia="zh-CN"/>
          </w:rPr>
          <w:t>achiev</w:t>
        </w:r>
      </w:ins>
      <w:ins w:id="42" w:author="Tencent" w:date="2024-11-22T12:30:00Z">
        <w:r w:rsidRPr="00930608">
          <w:rPr>
            <w:lang w:val="en-US" w:eastAsia="zh-CN"/>
          </w:rPr>
          <w:t>ed</w:t>
        </w:r>
      </w:ins>
      <w:ins w:id="43" w:author="Ericsson (M.L.Mas)" w:date="2024-11-22T16:34:00Z">
        <w:r w:rsidRPr="00930608">
          <w:rPr>
            <w:lang w:val="en-US" w:eastAsia="zh-CN"/>
          </w:rPr>
          <w:t xml:space="preserve"> </w:t>
        </w:r>
      </w:ins>
      <w:ins w:id="44" w:author="Tencent" w:date="2024-11-22T12:05:00Z">
        <w:r w:rsidRPr="00930608">
          <w:rPr>
            <w:lang w:val="en-US" w:eastAsia="zh-CN"/>
          </w:rPr>
          <w:t>for the service data flow</w:t>
        </w:r>
      </w:ins>
      <w:ins w:id="45" w:author="Ericsson (M.L.Mas)" w:date="2024-11-22T16:34:00Z">
        <w:r w:rsidRPr="00930608">
          <w:rPr>
            <w:lang w:val="en-US" w:eastAsia="zh-CN"/>
          </w:rPr>
          <w:t xml:space="preserve"> and </w:t>
        </w:r>
      </w:ins>
      <w:ins w:id="46" w:author="Tencent" w:date="2024-11-20T14:53:00Z">
        <w:r w:rsidRPr="00930608">
          <w:rPr>
            <w:lang w:val="en-US" w:eastAsia="zh-CN"/>
          </w:rPr>
          <w:t xml:space="preserve">can be </w:t>
        </w:r>
      </w:ins>
      <w:ins w:id="47" w:author="Ericsson (M.L.Mas)" w:date="2024-11-22T16:34:00Z">
        <w:r w:rsidRPr="00930608">
          <w:rPr>
            <w:lang w:val="en-US" w:eastAsia="zh-CN"/>
          </w:rPr>
          <w:t xml:space="preserve">calculated </w:t>
        </w:r>
      </w:ins>
      <w:ins w:id="48" w:author="Tencent" w:date="2024-11-21T11:35:00Z">
        <w:r w:rsidRPr="00930608">
          <w:rPr>
            <w:lang w:val="en-US" w:eastAsia="zh-CN"/>
          </w:rPr>
          <w:t>based on</w:t>
        </w:r>
      </w:ins>
      <w:ins w:id="49" w:author="Tencent" w:date="2024-11-21T11:36:00Z">
        <w:r w:rsidRPr="00930608">
          <w:rPr>
            <w:lang w:val="en-US" w:eastAsia="zh-CN"/>
          </w:rPr>
          <w:t xml:space="preserve"> </w:t>
        </w:r>
      </w:ins>
      <w:ins w:id="50" w:author="백영교/통신표준연구팀(SR)/삼성전자" w:date="2025-02-03T12:01:00Z">
        <w:r w:rsidR="006B11C2" w:rsidRPr="006339A1">
          <w:rPr>
            <w:highlight w:val="yellow"/>
            <w:lang w:val="en-US" w:eastAsia="zh-CN"/>
          </w:rPr>
          <w:t>authorized</w:t>
        </w:r>
        <w:r w:rsidR="006B11C2">
          <w:rPr>
            <w:lang w:val="en-US" w:eastAsia="zh-CN"/>
          </w:rPr>
          <w:t xml:space="preserve"> </w:t>
        </w:r>
      </w:ins>
      <w:ins w:id="51" w:author="Tencent" w:date="2024-11-21T11:45:00Z">
        <w:r w:rsidRPr="00930608">
          <w:rPr>
            <w:lang w:val="en-US" w:eastAsia="zh-CN"/>
          </w:rPr>
          <w:t>S</w:t>
        </w:r>
      </w:ins>
      <w:ins w:id="52" w:author="Tencent" w:date="2024-11-21T11:36:00Z">
        <w:r w:rsidRPr="00930608">
          <w:rPr>
            <w:lang w:val="en-US" w:eastAsia="zh-CN"/>
          </w:rPr>
          <w:t>ession</w:t>
        </w:r>
        <w:del w:id="53" w:author="백영교/통신표준연구팀(SR)/삼성전자" w:date="2025-02-03T13:24:00Z">
          <w:r w:rsidRPr="00930608" w:rsidDel="006339A1">
            <w:rPr>
              <w:lang w:val="en-US" w:eastAsia="zh-CN"/>
            </w:rPr>
            <w:delText xml:space="preserve"> </w:delText>
          </w:r>
        </w:del>
      </w:ins>
      <w:ins w:id="54" w:author="백영교/통신표준연구팀(SR)/삼성전자" w:date="2025-02-03T13:24:00Z">
        <w:r w:rsidR="006339A1" w:rsidRPr="006339A1">
          <w:rPr>
            <w:highlight w:val="yellow"/>
            <w:lang w:val="en-US" w:eastAsia="zh-CN"/>
          </w:rPr>
          <w:t>-</w:t>
        </w:r>
      </w:ins>
      <w:ins w:id="55" w:author="Tencent" w:date="2024-11-21T11:36:00Z">
        <w:r w:rsidRPr="00930608">
          <w:rPr>
            <w:lang w:val="en-US" w:eastAsia="zh-CN"/>
          </w:rPr>
          <w:t>AMB</w:t>
        </w:r>
      </w:ins>
      <w:ins w:id="56" w:author="Tencent" w:date="2024-11-21T11:38:00Z">
        <w:r w:rsidRPr="00930608">
          <w:rPr>
            <w:lang w:val="en-US" w:eastAsia="zh-CN"/>
          </w:rPr>
          <w:t>R</w:t>
        </w:r>
      </w:ins>
      <w:ins w:id="57" w:author="Tencent" w:date="2024-11-22T07:43:00Z">
        <w:r w:rsidRPr="00930608">
          <w:rPr>
            <w:rFonts w:hint="eastAsia"/>
            <w:lang w:val="en-US" w:eastAsia="zh-CN"/>
          </w:rPr>
          <w:t xml:space="preserve"> </w:t>
        </w:r>
        <w:r w:rsidRPr="00930608">
          <w:rPr>
            <w:lang w:val="en-US" w:eastAsia="zh-CN"/>
          </w:rPr>
          <w:t>or authorized maximum bit rate</w:t>
        </w:r>
      </w:ins>
      <w:ins w:id="58" w:author="Tencent" w:date="2024-11-21T15:35:00Z">
        <w:r w:rsidRPr="00930608">
          <w:rPr>
            <w:lang w:val="en-US"/>
          </w:rPr>
          <w:t>.</w:t>
        </w:r>
      </w:ins>
    </w:p>
    <w:p w14:paraId="3983A47B" w14:textId="1212D22D" w:rsidR="004234B2" w:rsidRPr="00930608" w:rsidRDefault="00D60F98" w:rsidP="00930608">
      <w:pPr>
        <w:pStyle w:val="B1"/>
        <w:jc w:val="both"/>
        <w:rPr>
          <w:ins w:id="59" w:author="Tencent-SA2#166AHE" w:date="2025-01-17T09:51:00Z"/>
        </w:rPr>
      </w:pPr>
      <w:ins w:id="60" w:author="Tencent-SA2#166AHE" w:date="2025-01-17T09:51:00Z">
        <w:r w:rsidRPr="00930608">
          <w:t xml:space="preserve">- </w:t>
        </w:r>
        <w:r w:rsidRPr="00930608">
          <w:tab/>
          <w:t xml:space="preserve">For new or ongoing data sessions bound to an AF session, the PCF provides the uplink and downlink maximum </w:t>
        </w:r>
        <w:r w:rsidRPr="006B11C2">
          <w:rPr>
            <w:highlight w:val="yellow"/>
          </w:rPr>
          <w:t>bit</w:t>
        </w:r>
      </w:ins>
      <w:ins w:id="61" w:author="백영교/통신표준연구팀(SR)/삼성전자" w:date="2025-02-03T12:00:00Z">
        <w:r w:rsidR="006B11C2" w:rsidRPr="006B11C2">
          <w:rPr>
            <w:highlight w:val="yellow"/>
          </w:rPr>
          <w:t xml:space="preserve"> </w:t>
        </w:r>
      </w:ins>
      <w:ins w:id="62" w:author="Tencent-SA2#166AHE" w:date="2025-01-17T09:51:00Z">
        <w:r w:rsidRPr="006B11C2">
          <w:rPr>
            <w:highlight w:val="yellow"/>
          </w:rPr>
          <w:t>rate</w:t>
        </w:r>
        <w:r w:rsidRPr="00930608">
          <w:t xml:space="preserve"> authorized for the service data flow as </w:t>
        </w:r>
      </w:ins>
      <w:ins w:id="63" w:author="Tencent- Lei Yixue" w:date="2025-01-22T16:56:00Z">
        <w:r w:rsidR="00D22496" w:rsidRPr="00930608">
          <w:t>dat</w:t>
        </w:r>
      </w:ins>
      <w:ins w:id="64" w:author="Tencent- Lei Yixue" w:date="2025-01-22T16:57:00Z">
        <w:r w:rsidR="00D22496" w:rsidRPr="00930608">
          <w:t xml:space="preserve">a </w:t>
        </w:r>
      </w:ins>
      <w:ins w:id="65" w:author="Tencent-SA2#166AHE" w:date="2025-01-17T09:51:00Z">
        <w:r w:rsidRPr="00930608">
          <w:t>rate limit</w:t>
        </w:r>
        <w:del w:id="66" w:author="백영교/통신표준연구팀(SR)/삼성전자" w:date="2025-02-03T11:54:00Z">
          <w:r w:rsidRPr="006B11C2" w:rsidDel="004B4CE9">
            <w:rPr>
              <w:highlight w:val="yellow"/>
            </w:rPr>
            <w:delText>ing</w:delText>
          </w:r>
        </w:del>
      </w:ins>
      <w:ins w:id="67" w:author="백영교/통신표준연구팀(SR)/삼성전자" w:date="2025-02-03T11:54:00Z">
        <w:r w:rsidR="004B4CE9">
          <w:t>ation</w:t>
        </w:r>
      </w:ins>
      <w:ins w:id="68" w:author="Tencent-SA2#166AHE" w:date="2025-01-17T09:51:00Z">
        <w:r w:rsidRPr="00930608">
          <w:t xml:space="preserve"> information, under AF request, within the AF session with QoS procedure (as defined in clause 4.15.6.6 of TS 23.502).</w:t>
        </w:r>
      </w:ins>
    </w:p>
    <w:p w14:paraId="3FD5063F" w14:textId="6BA792E7" w:rsidR="004234B2" w:rsidRDefault="00D60F98" w:rsidP="00930608">
      <w:pPr>
        <w:pStyle w:val="B1"/>
        <w:jc w:val="both"/>
        <w:rPr>
          <w:ins w:id="69" w:author="Tencent" w:date="2024-11-21T15:35:00Z"/>
          <w:lang w:val="en-US" w:eastAsia="zh-CN"/>
        </w:rPr>
      </w:pPr>
      <w:ins w:id="70" w:author="Tencent-SA2#166AHE" w:date="2025-01-17T09:51:00Z">
        <w:r w:rsidRPr="00930608">
          <w:t xml:space="preserve">- </w:t>
        </w:r>
        <w:r w:rsidRPr="00930608">
          <w:tab/>
          <w:t xml:space="preserve">When the AF subscribes to event notifications for a UE that are not related to a service data flow, the PCF provides the </w:t>
        </w:r>
        <w:del w:id="71" w:author="백영교/통신표준연구팀(SR)/삼성전자" w:date="2025-02-03T11:58:00Z">
          <w:r w:rsidRPr="006B11C2" w:rsidDel="00511AC8">
            <w:rPr>
              <w:highlight w:val="yellow"/>
            </w:rPr>
            <w:delText>A</w:delText>
          </w:r>
        </w:del>
      </w:ins>
      <w:ins w:id="72" w:author="백영교/통신표준연구팀(SR)/삼성전자" w:date="2025-02-03T11:58:00Z">
        <w:r w:rsidR="00511AC8" w:rsidRPr="006B11C2">
          <w:rPr>
            <w:highlight w:val="yellow"/>
          </w:rPr>
          <w:t>a</w:t>
        </w:r>
      </w:ins>
      <w:ins w:id="73" w:author="Tencent-SA2#166AHE" w:date="2025-01-17T09:51:00Z">
        <w:r w:rsidRPr="00930608">
          <w:t xml:space="preserve">uthorized Session-AMBR as </w:t>
        </w:r>
      </w:ins>
      <w:ins w:id="74" w:author="Tencent-SA2#166AHE" w:date="2025-01-22T09:14:00Z">
        <w:r w:rsidRPr="00930608">
          <w:rPr>
            <w:lang w:val="en-US"/>
          </w:rPr>
          <w:t xml:space="preserve">data </w:t>
        </w:r>
      </w:ins>
      <w:ins w:id="75" w:author="Tencent-SA2#166AHE" w:date="2025-01-17T09:51:00Z">
        <w:r w:rsidRPr="00930608">
          <w:t>rate limit</w:t>
        </w:r>
        <w:del w:id="76" w:author="백영교/통신표준연구팀(SR)/삼성전자" w:date="2025-02-03T11:55:00Z">
          <w:r w:rsidRPr="006B11C2" w:rsidDel="004B4CE9">
            <w:rPr>
              <w:highlight w:val="yellow"/>
            </w:rPr>
            <w:delText>ing</w:delText>
          </w:r>
        </w:del>
      </w:ins>
      <w:ins w:id="77" w:author="백영교/통신표준연구팀(SR)/삼성전자" w:date="2025-02-03T11:55:00Z">
        <w:r w:rsidR="004B4CE9">
          <w:t>ation</w:t>
        </w:r>
      </w:ins>
      <w:ins w:id="78" w:author="Tencent-SA2#166AHE" w:date="2025-01-17T09:51:00Z">
        <w:r w:rsidRPr="00930608">
          <w:t xml:space="preserve"> information, under AF request, by means of the Npcf_EventExposure service.</w:t>
        </w:r>
      </w:ins>
    </w:p>
    <w:p w14:paraId="69D2CE9C"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C651E" w14:textId="77777777" w:rsidR="00D460A2" w:rsidRDefault="00D460A2">
      <w:pPr>
        <w:spacing w:after="0"/>
      </w:pPr>
      <w:r>
        <w:separator/>
      </w:r>
    </w:p>
  </w:endnote>
  <w:endnote w:type="continuationSeparator" w:id="0">
    <w:p w14:paraId="7C6FCFED" w14:textId="77777777" w:rsidR="00D460A2" w:rsidRDefault="00D46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903BA" w14:textId="77777777" w:rsidR="00D460A2" w:rsidRDefault="00D460A2">
      <w:pPr>
        <w:spacing w:after="0"/>
      </w:pPr>
      <w:r>
        <w:separator/>
      </w:r>
    </w:p>
  </w:footnote>
  <w:footnote w:type="continuationSeparator" w:id="0">
    <w:p w14:paraId="47ABD556" w14:textId="77777777" w:rsidR="00D460A2" w:rsidRDefault="00D460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5B2F9" w14:textId="77777777" w:rsidR="004234B2" w:rsidRDefault="00D60F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3AC3C" w14:textId="77777777" w:rsidR="004234B2" w:rsidRDefault="004234B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85132" w14:textId="77777777" w:rsidR="004234B2" w:rsidRDefault="00D60F9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5639" w14:textId="77777777" w:rsidR="004234B2" w:rsidRDefault="004234B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ncent">
    <w15:presenceInfo w15:providerId="None" w15:userId="Tencent"/>
  </w15:person>
  <w15:person w15:author="Tencent-SA2#166AHE">
    <w15:presenceInfo w15:providerId="None" w15:userId="Tencent-SA2#166AHE"/>
  </w15:person>
  <w15:person w15:author="Tencent- Lei Yixue">
    <w15:presenceInfo w15:providerId="None" w15:userId="Tencent- Lei Yixue"/>
  </w15:person>
  <w15:person w15:author="Ericsson (M.L.Mas)">
    <w15:presenceInfo w15:providerId="None" w15:userId="Ericsson (M.L.Mas)"/>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8FF"/>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266F"/>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4CE9"/>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1AC8"/>
    <w:rsid w:val="005141D9"/>
    <w:rsid w:val="0051580D"/>
    <w:rsid w:val="00525D94"/>
    <w:rsid w:val="00530728"/>
    <w:rsid w:val="005449FD"/>
    <w:rsid w:val="00547111"/>
    <w:rsid w:val="00551515"/>
    <w:rsid w:val="00551586"/>
    <w:rsid w:val="00562631"/>
    <w:rsid w:val="0056360B"/>
    <w:rsid w:val="00567937"/>
    <w:rsid w:val="00567A88"/>
    <w:rsid w:val="00571E1F"/>
    <w:rsid w:val="00573062"/>
    <w:rsid w:val="00573EFF"/>
    <w:rsid w:val="00575E24"/>
    <w:rsid w:val="00585CBD"/>
    <w:rsid w:val="00587D73"/>
    <w:rsid w:val="00592D66"/>
    <w:rsid w:val="00592D74"/>
    <w:rsid w:val="005949BE"/>
    <w:rsid w:val="00594BF1"/>
    <w:rsid w:val="00596717"/>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9A1"/>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11C2"/>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30608"/>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57B2"/>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2496"/>
    <w:rsid w:val="00D24991"/>
    <w:rsid w:val="00D27441"/>
    <w:rsid w:val="00D27F0E"/>
    <w:rsid w:val="00D306A0"/>
    <w:rsid w:val="00D317B4"/>
    <w:rsid w:val="00D33783"/>
    <w:rsid w:val="00D33859"/>
    <w:rsid w:val="00D4446F"/>
    <w:rsid w:val="00D460A2"/>
    <w:rsid w:val="00D462D0"/>
    <w:rsid w:val="00D46F61"/>
    <w:rsid w:val="00D50255"/>
    <w:rsid w:val="00D51D67"/>
    <w:rsid w:val="00D52728"/>
    <w:rsid w:val="00D56261"/>
    <w:rsid w:val="00D5778E"/>
    <w:rsid w:val="00D6030B"/>
    <w:rsid w:val="00D60F98"/>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1A8E"/>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09DE"/>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har">
    <w:name w:val="메모 텍스트 Char"/>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2">
    <w:name w:val="修订1"/>
    <w:hidden/>
    <w:uiPriority w:val="99"/>
    <w:unhideWhenUsed/>
    <w:rPr>
      <w:rFonts w:ascii="Times New Roman" w:hAnsi="Times New Roman"/>
      <w:lang w:val="en-GB" w:eastAsia="en-US"/>
    </w:rPr>
  </w:style>
  <w:style w:type="paragraph" w:customStyle="1" w:styleId="25">
    <w:name w:val="修订2"/>
    <w:hidden/>
    <w:uiPriority w:val="99"/>
    <w:unhideWhenUsed/>
    <w:rPr>
      <w:rFonts w:ascii="Times New Roman" w:hAnsi="Times New Roman"/>
      <w:lang w:val="en-GB" w:eastAsia="en-US"/>
    </w:rPr>
  </w:style>
  <w:style w:type="paragraph" w:customStyle="1" w:styleId="33">
    <w:name w:val="修订3"/>
    <w:hidden/>
    <w:uiPriority w:val="99"/>
    <w:unhideWhenUsed/>
    <w:rPr>
      <w:rFonts w:ascii="Times New Roman" w:hAnsi="Times New Roman"/>
      <w:lang w:val="en-GB" w:eastAsia="en-US"/>
    </w:rPr>
  </w:style>
  <w:style w:type="paragraph" w:styleId="af1">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998</Words>
  <Characters>5690</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백영교/통신표준연구팀(SR)/삼성전자</cp:lastModifiedBy>
  <cp:revision>5</cp:revision>
  <dcterms:created xsi:type="dcterms:W3CDTF">2025-02-03T02:47:00Z</dcterms:created>
  <dcterms:modified xsi:type="dcterms:W3CDTF">2025-02-10T02:18:00Z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