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2163F" w14:textId="4FA9D5F6" w:rsidR="001F27B7" w:rsidRPr="00953931" w:rsidRDefault="001F27B7"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S2-2500025</w:t>
      </w:r>
    </w:p>
    <w:p w14:paraId="2B5C3685" w14:textId="77777777" w:rsidR="001F27B7" w:rsidRPr="00953931" w:rsidRDefault="001F27B7"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3CA74F6A" w14:textId="0BA458AC" w:rsidR="00A75747" w:rsidRDefault="00A75747" w:rsidP="00A75747">
      <w:pPr>
        <w:pStyle w:val="Header"/>
        <w:tabs>
          <w:tab w:val="clear" w:pos="4153"/>
          <w:tab w:val="clear" w:pos="8306"/>
          <w:tab w:val="right" w:pos="9638"/>
        </w:tabs>
        <w:rPr>
          <w:rFonts w:ascii="Arial" w:hAnsi="Arial" w:cs="Arial"/>
          <w:b/>
          <w:bCs/>
          <w:sz w:val="24"/>
        </w:rPr>
      </w:pPr>
      <w:r>
        <w:rPr>
          <w:rFonts w:ascii="Arial" w:hAnsi="Arial" w:cs="Arial"/>
          <w:b/>
          <w:bCs/>
          <w:sz w:val="24"/>
        </w:rPr>
        <w:t>SA WG2 Meeting #S2-166</w:t>
      </w:r>
      <w:r>
        <w:rPr>
          <w:rFonts w:ascii="Arial" w:hAnsi="Arial" w:cs="Arial"/>
          <w:b/>
          <w:bCs/>
          <w:sz w:val="24"/>
        </w:rPr>
        <w:tab/>
        <w:t>S2-2412621</w:t>
      </w:r>
    </w:p>
    <w:p w14:paraId="4DB53FEB" w14:textId="77777777" w:rsidR="00A75747" w:rsidRDefault="00A75747" w:rsidP="00A75747">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18 - 22 November, 2024, Orlando, USA</w:t>
      </w:r>
    </w:p>
    <w:p w14:paraId="360C7DD7" w14:textId="799E6C7F" w:rsidR="00A75747" w:rsidRPr="00A75747" w:rsidRDefault="00A75747" w:rsidP="00A75747">
      <w:pPr>
        <w:pStyle w:val="Header"/>
        <w:tabs>
          <w:tab w:val="clear" w:pos="4153"/>
          <w:tab w:val="clear" w:pos="8306"/>
          <w:tab w:val="right" w:pos="9638"/>
        </w:tabs>
        <w:rPr>
          <w:rFonts w:ascii="Arial" w:hAnsi="Arial" w:cs="Arial"/>
          <w:b/>
          <w:bCs/>
          <w:sz w:val="24"/>
        </w:rPr>
      </w:pPr>
    </w:p>
    <w:p w14:paraId="7EECE85F" w14:textId="1844623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53E49" w:rsidRPr="00D53E49">
        <w:rPr>
          <w:rFonts w:ascii="Arial" w:hAnsi="Arial" w:cs="Arial"/>
          <w:bCs/>
        </w:rPr>
        <w:t>NR_AIML_Air</w:t>
      </w:r>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Pr="001F27B7" w:rsidRDefault="00463675">
      <w:pPr>
        <w:spacing w:after="60"/>
        <w:ind w:left="1985" w:hanging="1985"/>
        <w:rPr>
          <w:rFonts w:ascii="Arial" w:hAnsi="Arial" w:cs="Arial"/>
          <w:bCs/>
          <w:lang w:val="fr-FR"/>
        </w:rPr>
      </w:pPr>
      <w:r w:rsidRPr="001F27B7">
        <w:rPr>
          <w:rFonts w:ascii="Arial" w:hAnsi="Arial" w:cs="Arial"/>
          <w:b/>
          <w:lang w:val="fr-FR"/>
        </w:rPr>
        <w:t>To:</w:t>
      </w:r>
      <w:r w:rsidRPr="001F27B7">
        <w:rPr>
          <w:rFonts w:ascii="Arial" w:hAnsi="Arial" w:cs="Arial"/>
          <w:bCs/>
          <w:lang w:val="fr-FR"/>
        </w:rPr>
        <w:tab/>
      </w:r>
      <w:r w:rsidR="005643E8" w:rsidRPr="001F27B7">
        <w:rPr>
          <w:rFonts w:ascii="Arial" w:hAnsi="Arial" w:cs="Arial"/>
          <w:bCs/>
          <w:lang w:val="fr-FR"/>
        </w:rPr>
        <w:t>SA</w:t>
      </w:r>
      <w:r w:rsidR="006963E7" w:rsidRPr="001F27B7">
        <w:rPr>
          <w:rFonts w:ascii="Arial" w:hAnsi="Arial" w:cs="Arial"/>
          <w:bCs/>
          <w:lang w:val="fr-FR"/>
        </w:rPr>
        <w:t>2</w:t>
      </w:r>
    </w:p>
    <w:p w14:paraId="4EFE95BE" w14:textId="4033E8B3" w:rsidR="002633C1" w:rsidRPr="001F27B7" w:rsidRDefault="002633C1">
      <w:pPr>
        <w:spacing w:after="60"/>
        <w:ind w:left="1985" w:hanging="1985"/>
        <w:rPr>
          <w:rFonts w:ascii="Arial" w:hAnsi="Arial" w:cs="Arial"/>
          <w:bCs/>
          <w:lang w:val="fr-FR"/>
        </w:rPr>
      </w:pPr>
      <w:r w:rsidRPr="001F27B7">
        <w:rPr>
          <w:rFonts w:ascii="Arial" w:hAnsi="Arial" w:cs="Arial"/>
          <w:b/>
          <w:lang w:val="fr-FR"/>
        </w:rPr>
        <w:t>Cc:</w:t>
      </w:r>
      <w:r w:rsidR="00E7017E" w:rsidRPr="001F27B7">
        <w:rPr>
          <w:rFonts w:ascii="Arial" w:hAnsi="Arial" w:cs="Arial"/>
          <w:bCs/>
          <w:lang w:val="fr-FR"/>
        </w:rPr>
        <w:tab/>
      </w:r>
      <w:r w:rsidR="005643E8" w:rsidRPr="001F27B7">
        <w:rPr>
          <w:rFonts w:ascii="Arial" w:hAnsi="Arial" w:cs="Arial"/>
          <w:bCs/>
          <w:lang w:val="fr-FR"/>
        </w:rPr>
        <w:t>TSG RAN, RAN1, RAN3, TSG SA, SA</w:t>
      </w:r>
      <w:r w:rsidR="006963E7" w:rsidRPr="001F27B7">
        <w:rPr>
          <w:rFonts w:ascii="Arial" w:hAnsi="Arial" w:cs="Arial"/>
          <w:bCs/>
          <w:lang w:val="fr-FR"/>
        </w:rPr>
        <w:t>5</w:t>
      </w:r>
      <w:r w:rsidR="005643E8" w:rsidRPr="001F27B7">
        <w:rPr>
          <w:rFonts w:ascii="Arial" w:hAnsi="Arial" w:cs="Arial"/>
          <w:bCs/>
          <w:lang w:val="fr-FR"/>
        </w:rPr>
        <w:t>, SA3</w:t>
      </w:r>
    </w:p>
    <w:p w14:paraId="02681363" w14:textId="77777777" w:rsidR="00463675" w:rsidRPr="001F27B7" w:rsidRDefault="00463675">
      <w:pPr>
        <w:spacing w:after="60"/>
        <w:ind w:left="1985" w:hanging="1985"/>
        <w:rPr>
          <w:rFonts w:ascii="Arial" w:hAnsi="Arial" w:cs="Arial"/>
          <w:bCs/>
          <w:lang w:val="fr-FR"/>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Oumer Teyeb</w:t>
      </w:r>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4192F">
        <w:rPr>
          <w:rFonts w:cs="Arial"/>
          <w:b w:val="0"/>
          <w:bCs/>
          <w:lang w:val="en-US"/>
        </w:rPr>
        <w:t>oumer(</w:t>
      </w:r>
      <w:r w:rsidR="005643E8">
        <w:rPr>
          <w:rFonts w:cs="Arial"/>
          <w:b w:val="0"/>
          <w:bCs/>
          <w:lang w:val="en-US"/>
        </w:rPr>
        <w:t>dot)</w:t>
      </w:r>
      <w:r w:rsidR="00D4192F">
        <w:rPr>
          <w:rFonts w:cs="Arial"/>
          <w:b w:val="0"/>
          <w:bCs/>
          <w:lang w:val="en-US"/>
        </w:rPr>
        <w:t>teyeb</w:t>
      </w:r>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lastRenderedPageBreak/>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SA2 can assume that the gNB is involved in providing radio measurement configuration (if needed) for beam management use case and LMF is involved in providing PRS measurement configuration (if needed). However, RAN2 has not agreed that the gNB/LMF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664C7" w14:textId="77777777" w:rsidR="00B83FF8" w:rsidRDefault="00B83FF8">
      <w:r>
        <w:separator/>
      </w:r>
    </w:p>
  </w:endnote>
  <w:endnote w:type="continuationSeparator" w:id="0">
    <w:p w14:paraId="55429D68" w14:textId="77777777" w:rsidR="00B83FF8" w:rsidRDefault="00B83FF8">
      <w:r>
        <w:continuationSeparator/>
      </w:r>
    </w:p>
  </w:endnote>
  <w:endnote w:type="continuationNotice" w:id="1">
    <w:p w14:paraId="6EBEE237" w14:textId="77777777" w:rsidR="00B83FF8" w:rsidRDefault="00B83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5E3A9" w14:textId="77777777" w:rsidR="00B83FF8" w:rsidRDefault="00B83FF8">
      <w:r>
        <w:separator/>
      </w:r>
    </w:p>
  </w:footnote>
  <w:footnote w:type="continuationSeparator" w:id="0">
    <w:p w14:paraId="054AFCE1" w14:textId="77777777" w:rsidR="00B83FF8" w:rsidRDefault="00B83FF8">
      <w:r>
        <w:continuationSeparator/>
      </w:r>
    </w:p>
  </w:footnote>
  <w:footnote w:type="continuationNotice" w:id="1">
    <w:p w14:paraId="63EE4B1C" w14:textId="77777777" w:rsidR="00B83FF8" w:rsidRDefault="00B83F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27B7"/>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75747"/>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83FF8"/>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5492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23.501CR5807R10: Correction of Implementation 5.50.2</cp:lastModifiedBy>
  <cp:revision>3</cp:revision>
  <cp:lastPrinted>2002-04-23T00:10:00Z</cp:lastPrinted>
  <dcterms:created xsi:type="dcterms:W3CDTF">2024-11-19T22:58:00Z</dcterms:created>
  <dcterms:modified xsi:type="dcterms:W3CDTF">2024-12-29T09:42:00Z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