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44D87C3A" w:rsidR="009D3DAA" w:rsidRPr="0084339E" w:rsidRDefault="009D3DAA" w:rsidP="005E2D05">
      <w:pPr>
        <w:tabs>
          <w:tab w:val="left" w:pos="4073"/>
          <w:tab w:val="right" w:pos="9638"/>
        </w:tabs>
        <w:spacing w:after="0"/>
        <w:rPr>
          <w:rFonts w:ascii="Arial" w:hAnsi="Arial" w:cs="Arial"/>
          <w:b/>
          <w:bCs/>
          <w:sz w:val="24"/>
          <w:lang w:eastAsia="ko-KR"/>
        </w:rPr>
      </w:pPr>
      <w:bookmarkStart w:id="0" w:name="_Toc465354250"/>
      <w:r w:rsidRPr="0084339E">
        <w:rPr>
          <w:rFonts w:ascii="Arial" w:hAnsi="Arial" w:cs="Arial"/>
          <w:b/>
          <w:bCs/>
          <w:sz w:val="24"/>
        </w:rPr>
        <w:t>SA WG2 Meeting #</w:t>
      </w:r>
      <w:r w:rsidR="00074381" w:rsidRPr="0084339E">
        <w:rPr>
          <w:rFonts w:ascii="Arial" w:hAnsi="Arial" w:cs="Arial"/>
          <w:b/>
          <w:bCs/>
          <w:sz w:val="24"/>
        </w:rPr>
        <w:t>15</w:t>
      </w:r>
      <w:r w:rsidR="005E2D05">
        <w:rPr>
          <w:rFonts w:ascii="Arial" w:hAnsi="Arial" w:cs="Arial"/>
          <w:b/>
          <w:bCs/>
          <w:sz w:val="24"/>
        </w:rPr>
        <w:t>8</w:t>
      </w:r>
      <w:r w:rsidRPr="0084339E">
        <w:rPr>
          <w:rFonts w:ascii="Arial" w:hAnsi="Arial" w:cs="Arial"/>
          <w:b/>
          <w:bCs/>
          <w:sz w:val="24"/>
        </w:rPr>
        <w:tab/>
      </w:r>
      <w:r w:rsidR="005E2D05">
        <w:rPr>
          <w:rFonts w:ascii="Arial" w:hAnsi="Arial" w:cs="Arial"/>
          <w:b/>
          <w:bCs/>
          <w:sz w:val="24"/>
        </w:rPr>
        <w:tab/>
      </w:r>
      <w:r w:rsidRPr="0084339E">
        <w:rPr>
          <w:rFonts w:ascii="Arial" w:hAnsi="Arial" w:cs="Arial"/>
          <w:b/>
          <w:bCs/>
          <w:sz w:val="24"/>
        </w:rPr>
        <w:t>S2-</w:t>
      </w:r>
      <w:r w:rsidR="00074381" w:rsidRPr="004E17E9">
        <w:rPr>
          <w:rFonts w:ascii="Arial" w:hAnsi="Arial" w:cs="Arial"/>
          <w:b/>
          <w:bCs/>
          <w:sz w:val="24"/>
        </w:rPr>
        <w:t>23</w:t>
      </w:r>
      <w:r w:rsidR="004E17E9" w:rsidRPr="004E17E9">
        <w:rPr>
          <w:rFonts w:ascii="Arial" w:hAnsi="Arial" w:cs="Arial"/>
          <w:b/>
          <w:bCs/>
          <w:sz w:val="24"/>
        </w:rPr>
        <w:t>09207</w:t>
      </w:r>
    </w:p>
    <w:p w14:paraId="2D38673E" w14:textId="3728410C" w:rsidR="009D3DAA" w:rsidRPr="0084339E" w:rsidRDefault="005E2D05"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August 21-25</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szCs w:val="24"/>
        </w:rPr>
        <w:t>Gothenburg</w:t>
      </w:r>
      <w:r w:rsidR="00FD4646">
        <w:rPr>
          <w:rFonts w:ascii="Arial" w:hAnsi="Arial" w:cs="Arial"/>
          <w:b/>
          <w:bCs/>
          <w:sz w:val="24"/>
          <w:szCs w:val="24"/>
        </w:rPr>
        <w:t xml:space="preserve">, </w:t>
      </w:r>
      <w:r>
        <w:rPr>
          <w:rFonts w:ascii="Arial" w:hAnsi="Arial" w:cs="Arial"/>
          <w:b/>
          <w:bCs/>
          <w:sz w:val="24"/>
          <w:szCs w:val="24"/>
        </w:rPr>
        <w:t>Sweden</w:t>
      </w:r>
      <w:r w:rsidR="009D3DAA" w:rsidRPr="0084339E">
        <w:rPr>
          <w:rFonts w:ascii="Arial" w:hAnsi="Arial" w:cs="Arial"/>
          <w:b/>
          <w:bCs/>
        </w:rPr>
        <w:tab/>
      </w:r>
    </w:p>
    <w:p w14:paraId="67DD914F" w14:textId="77777777" w:rsidR="009D3DAA" w:rsidRPr="00F40C42" w:rsidRDefault="009D3DAA" w:rsidP="009D3DAA">
      <w:pPr>
        <w:ind w:left="2127" w:hanging="2127"/>
        <w:rPr>
          <w:rFonts w:ascii="Arial" w:hAnsi="Arial" w:cs="Arial"/>
          <w:b/>
        </w:rPr>
      </w:pPr>
      <w:r w:rsidRPr="0084339E">
        <w:rPr>
          <w:rFonts w:ascii="Arial" w:hAnsi="Arial" w:cs="Arial"/>
          <w:b/>
        </w:rPr>
        <w:t>Source</w:t>
      </w:r>
      <w:r w:rsidRPr="00F40C42">
        <w:rPr>
          <w:rFonts w:ascii="Arial" w:hAnsi="Arial" w:cs="Arial"/>
          <w:b/>
        </w:rPr>
        <w:t>:</w:t>
      </w:r>
      <w:r w:rsidRPr="00F40C42">
        <w:rPr>
          <w:rFonts w:ascii="Arial" w:hAnsi="Arial" w:cs="Arial"/>
          <w:b/>
        </w:rPr>
        <w:tab/>
      </w:r>
      <w:r w:rsidR="00320EDC" w:rsidRPr="00F40C42">
        <w:rPr>
          <w:rFonts w:ascii="Arial" w:hAnsi="Arial" w:cs="Arial"/>
          <w:b/>
          <w:lang w:eastAsia="ko-KR"/>
        </w:rPr>
        <w:t>InterDigital Inc.</w:t>
      </w:r>
      <w:r w:rsidR="00321BB8" w:rsidRPr="00F40C42">
        <w:rPr>
          <w:rFonts w:ascii="Arial" w:hAnsi="Arial" w:cs="Arial"/>
          <w:b/>
          <w:lang w:eastAsia="ko-KR"/>
        </w:rPr>
        <w:t xml:space="preserve"> </w:t>
      </w:r>
    </w:p>
    <w:p w14:paraId="3A1C7118" w14:textId="05F02A1C" w:rsidR="009D3DAA" w:rsidRPr="00F40C42" w:rsidRDefault="009D3DAA" w:rsidP="009D3DAA">
      <w:pPr>
        <w:ind w:left="2127" w:hanging="2127"/>
        <w:rPr>
          <w:rFonts w:ascii="Arial" w:hAnsi="Arial" w:cs="Arial"/>
          <w:b/>
        </w:rPr>
      </w:pPr>
      <w:r w:rsidRPr="00F40C42">
        <w:rPr>
          <w:rFonts w:ascii="Arial" w:hAnsi="Arial" w:cs="Arial"/>
          <w:b/>
        </w:rPr>
        <w:t>Title:</w:t>
      </w:r>
      <w:r w:rsidRPr="00F40C42">
        <w:rPr>
          <w:rFonts w:ascii="Arial" w:hAnsi="Arial" w:cs="Arial"/>
          <w:b/>
        </w:rPr>
        <w:tab/>
      </w:r>
      <w:r w:rsidR="006C6065">
        <w:rPr>
          <w:rFonts w:ascii="Arial" w:hAnsi="Arial" w:cs="Arial"/>
          <w:b/>
        </w:rPr>
        <w:t xml:space="preserve">Grouping and </w:t>
      </w:r>
      <w:r w:rsidR="00F40C42" w:rsidRPr="00F40C42">
        <w:rPr>
          <w:rFonts w:ascii="Arial" w:hAnsi="Arial" w:cs="Arial"/>
          <w:b/>
        </w:rPr>
        <w:t xml:space="preserve">Handling </w:t>
      </w:r>
      <w:r w:rsidR="006C6065">
        <w:rPr>
          <w:rFonts w:ascii="Arial" w:hAnsi="Arial" w:cs="Arial"/>
          <w:b/>
        </w:rPr>
        <w:t xml:space="preserve">of </w:t>
      </w:r>
      <w:r w:rsidR="00F40C42" w:rsidRPr="00F40C42">
        <w:rPr>
          <w:rFonts w:ascii="Arial" w:hAnsi="Arial" w:cs="Arial"/>
          <w:b/>
        </w:rPr>
        <w:t xml:space="preserve">Traffic from </w:t>
      </w:r>
      <w:r w:rsidR="009D5C69">
        <w:rPr>
          <w:rFonts w:ascii="Arial" w:hAnsi="Arial" w:cs="Arial"/>
          <w:b/>
        </w:rPr>
        <w:t xml:space="preserve">UEs that host </w:t>
      </w:r>
      <w:r w:rsidR="006C6065">
        <w:rPr>
          <w:rFonts w:ascii="Arial" w:hAnsi="Arial" w:cs="Arial"/>
          <w:b/>
        </w:rPr>
        <w:t>PIN Management Clients and PIN Gateway Clients</w:t>
      </w:r>
    </w:p>
    <w:p w14:paraId="702B870C" w14:textId="71B053AF" w:rsidR="009D3DAA" w:rsidRPr="00F40C42" w:rsidRDefault="009D3DAA" w:rsidP="009D3DAA">
      <w:pPr>
        <w:ind w:left="2127" w:hanging="2127"/>
        <w:rPr>
          <w:rFonts w:ascii="Arial" w:hAnsi="Arial" w:cs="Arial"/>
          <w:b/>
        </w:rPr>
      </w:pPr>
      <w:r w:rsidRPr="00F40C42">
        <w:rPr>
          <w:rFonts w:ascii="Arial" w:hAnsi="Arial" w:cs="Arial"/>
          <w:b/>
        </w:rPr>
        <w:t>Document for:</w:t>
      </w:r>
      <w:r w:rsidRPr="00F40C42">
        <w:rPr>
          <w:rFonts w:ascii="Arial" w:hAnsi="Arial" w:cs="Arial"/>
          <w:b/>
        </w:rPr>
        <w:tab/>
      </w:r>
      <w:r w:rsidR="00C33FAA" w:rsidRPr="00F40C42">
        <w:rPr>
          <w:rFonts w:ascii="Arial" w:hAnsi="Arial" w:cs="Arial"/>
          <w:b/>
        </w:rPr>
        <w:t>Discussion</w:t>
      </w:r>
    </w:p>
    <w:p w14:paraId="50E8D5B0" w14:textId="5E8627D5" w:rsidR="009D3DAA" w:rsidRPr="00F40C42" w:rsidRDefault="009D3DAA" w:rsidP="009D3DAA">
      <w:pPr>
        <w:ind w:left="2127" w:hanging="2127"/>
        <w:rPr>
          <w:rFonts w:ascii="Arial" w:hAnsi="Arial" w:cs="Arial"/>
          <w:b/>
        </w:rPr>
      </w:pPr>
      <w:r w:rsidRPr="00F40C42">
        <w:rPr>
          <w:rFonts w:ascii="Arial" w:hAnsi="Arial" w:cs="Arial"/>
          <w:b/>
        </w:rPr>
        <w:t>Agenda Item:</w:t>
      </w:r>
      <w:r w:rsidRPr="00F40C42">
        <w:rPr>
          <w:rFonts w:ascii="Arial" w:hAnsi="Arial" w:cs="Arial"/>
          <w:b/>
        </w:rPr>
        <w:tab/>
      </w:r>
      <w:r w:rsidR="002D3AB2" w:rsidRPr="00F40C42">
        <w:rPr>
          <w:rFonts w:ascii="Arial" w:hAnsi="Arial" w:cs="Arial"/>
          <w:b/>
        </w:rPr>
        <w:t>9.</w:t>
      </w:r>
      <w:r w:rsidR="005E2D05" w:rsidRPr="00F40C42">
        <w:rPr>
          <w:rFonts w:ascii="Arial" w:hAnsi="Arial" w:cs="Arial"/>
          <w:b/>
        </w:rPr>
        <w:t>3</w:t>
      </w:r>
      <w:r w:rsidR="002D3AB2" w:rsidRPr="00F40C42">
        <w:rPr>
          <w:rFonts w:ascii="Arial" w:hAnsi="Arial" w:cs="Arial"/>
          <w:b/>
        </w:rPr>
        <w:t>.2</w:t>
      </w:r>
    </w:p>
    <w:p w14:paraId="0F5AA45F" w14:textId="20EB7294" w:rsidR="009D3DAA" w:rsidRPr="00F40C42" w:rsidRDefault="009D3DAA" w:rsidP="009D3DAA">
      <w:pPr>
        <w:ind w:left="2127" w:hanging="2127"/>
        <w:rPr>
          <w:rFonts w:ascii="Arial" w:hAnsi="Arial" w:cs="Arial"/>
          <w:b/>
          <w:lang w:eastAsia="ko-KR"/>
        </w:rPr>
      </w:pPr>
      <w:r w:rsidRPr="00F40C42">
        <w:rPr>
          <w:rFonts w:ascii="Arial" w:hAnsi="Arial" w:cs="Arial"/>
          <w:b/>
        </w:rPr>
        <w:t>Work Item / Release:</w:t>
      </w:r>
      <w:r w:rsidRPr="00F40C42">
        <w:rPr>
          <w:rFonts w:ascii="Arial" w:hAnsi="Arial" w:cs="Arial"/>
          <w:b/>
        </w:rPr>
        <w:tab/>
      </w:r>
      <w:r w:rsidR="005E2D05" w:rsidRPr="00F40C42">
        <w:rPr>
          <w:rFonts w:ascii="Arial" w:hAnsi="Arial" w:cs="Arial"/>
          <w:b/>
        </w:rPr>
        <w:t xml:space="preserve">PIN </w:t>
      </w:r>
      <w:r w:rsidRPr="00F40C42">
        <w:rPr>
          <w:rFonts w:ascii="Arial" w:hAnsi="Arial" w:cs="Arial"/>
          <w:b/>
        </w:rPr>
        <w:t>/ Rel-1</w:t>
      </w:r>
      <w:r w:rsidR="00320EDC" w:rsidRPr="00F40C42">
        <w:rPr>
          <w:rFonts w:ascii="Arial" w:hAnsi="Arial" w:cs="Arial"/>
          <w:b/>
        </w:rPr>
        <w:t>8</w:t>
      </w:r>
    </w:p>
    <w:p w14:paraId="2360856A" w14:textId="2CC32650"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F40C42">
        <w:rPr>
          <w:rFonts w:ascii="Arial" w:eastAsia="Malgun Gothic" w:hAnsi="Arial" w:cs="Arial"/>
          <w:i/>
          <w:color w:val="000000"/>
          <w:lang w:eastAsia="ja-JP"/>
        </w:rPr>
        <w:t xml:space="preserve">Abstract of the contribution: </w:t>
      </w:r>
      <w:r w:rsidR="00A0177E" w:rsidRPr="00F40C42">
        <w:rPr>
          <w:rFonts w:ascii="Arial" w:eastAsia="Malgun Gothic" w:hAnsi="Arial" w:cs="Arial"/>
          <w:i/>
          <w:color w:val="000000"/>
          <w:lang w:eastAsia="ja-JP"/>
        </w:rPr>
        <w:t>This paper discusses</w:t>
      </w:r>
      <w:r w:rsidR="00F40C42">
        <w:rPr>
          <w:rFonts w:ascii="Arial" w:eastAsia="Malgun Gothic" w:hAnsi="Arial" w:cs="Arial"/>
          <w:i/>
          <w:color w:val="000000"/>
          <w:lang w:eastAsia="ja-JP"/>
        </w:rPr>
        <w:t xml:space="preserve"> how</w:t>
      </w:r>
      <w:r w:rsidR="00A0177E" w:rsidRPr="00F40C42">
        <w:rPr>
          <w:rFonts w:ascii="Arial" w:eastAsia="Malgun Gothic" w:hAnsi="Arial" w:cs="Arial"/>
          <w:i/>
          <w:color w:val="000000"/>
          <w:lang w:eastAsia="ja-JP"/>
        </w:rPr>
        <w:t xml:space="preserve"> </w:t>
      </w:r>
      <w:r w:rsidR="00F40C42" w:rsidRPr="00F40C42">
        <w:rPr>
          <w:rFonts w:ascii="Arial" w:eastAsia="Malgun Gothic" w:hAnsi="Arial" w:cs="Arial"/>
          <w:i/>
          <w:color w:val="000000"/>
          <w:lang w:eastAsia="ja-JP"/>
        </w:rPr>
        <w:t xml:space="preserve">to configure URSP Rules to handle traffic from PIN </w:t>
      </w:r>
      <w:r w:rsidR="00706613">
        <w:rPr>
          <w:rFonts w:ascii="Arial" w:eastAsia="Malgun Gothic" w:hAnsi="Arial" w:cs="Arial"/>
          <w:i/>
          <w:color w:val="000000"/>
          <w:lang w:eastAsia="ja-JP"/>
        </w:rPr>
        <w:t xml:space="preserve">Gateway </w:t>
      </w:r>
      <w:r w:rsidR="00706613" w:rsidRPr="00F40C42">
        <w:rPr>
          <w:rFonts w:ascii="Arial" w:eastAsia="Malgun Gothic" w:hAnsi="Arial" w:cs="Arial"/>
          <w:i/>
          <w:color w:val="000000"/>
          <w:lang w:eastAsia="ja-JP"/>
        </w:rPr>
        <w:t>Clients</w:t>
      </w:r>
      <w:r w:rsidR="00706613">
        <w:rPr>
          <w:rFonts w:ascii="Arial" w:eastAsia="Malgun Gothic" w:hAnsi="Arial" w:cs="Arial"/>
          <w:i/>
          <w:color w:val="000000"/>
          <w:lang w:eastAsia="ja-JP"/>
        </w:rPr>
        <w:t xml:space="preserve"> and PIN Management Clients </w:t>
      </w:r>
      <w:r w:rsidR="00F40C42">
        <w:rPr>
          <w:rFonts w:ascii="Arial" w:eastAsia="Malgun Gothic" w:hAnsi="Arial" w:cs="Arial"/>
          <w:i/>
          <w:color w:val="000000"/>
          <w:lang w:eastAsia="ja-JP"/>
        </w:rPr>
        <w:t>and proposes a change to TS 23.50</w:t>
      </w:r>
      <w:r w:rsidR="00706613">
        <w:rPr>
          <w:rFonts w:ascii="Arial" w:eastAsia="Malgun Gothic" w:hAnsi="Arial" w:cs="Arial"/>
          <w:i/>
          <w:color w:val="000000"/>
          <w:lang w:eastAsia="ja-JP"/>
        </w:rPr>
        <w:t>1 and TS 23.503</w:t>
      </w:r>
      <w:r w:rsidR="00A0177E" w:rsidRPr="00F40C42">
        <w:rPr>
          <w:rFonts w:ascii="Arial" w:hAnsi="Arial" w:cs="Arial"/>
          <w:i/>
        </w:rPr>
        <w:t>.</w:t>
      </w:r>
    </w:p>
    <w:bookmarkEnd w:id="0"/>
    <w:bookmarkEnd w:id="1"/>
    <w:p w14:paraId="48EAF020" w14:textId="77777777" w:rsidR="00EE6933" w:rsidRDefault="003673BF" w:rsidP="00500150">
      <w:pPr>
        <w:pStyle w:val="Heading1"/>
      </w:pPr>
      <w:r w:rsidRPr="005B4625">
        <w:t>1.</w:t>
      </w:r>
      <w:r w:rsidRPr="005B4625">
        <w:tab/>
      </w:r>
      <w:r w:rsidR="00D911C6" w:rsidRPr="005B4625">
        <w:t xml:space="preserve"> </w:t>
      </w:r>
      <w:r w:rsidR="00994CDE" w:rsidRPr="005B4625">
        <w:t>Discussion</w:t>
      </w:r>
    </w:p>
    <w:p w14:paraId="11ACE55E" w14:textId="33A93BF7" w:rsidR="00706613" w:rsidRPr="00706613" w:rsidRDefault="00706613" w:rsidP="00706613">
      <w:pPr>
        <w:pStyle w:val="Heading2"/>
      </w:pPr>
      <w:r>
        <w:t>1.1 PIN Gateway Client Traffic</w:t>
      </w:r>
    </w:p>
    <w:p w14:paraId="6BF5840E" w14:textId="7BB32EAD" w:rsidR="005E2D05" w:rsidRDefault="005E2D05" w:rsidP="00375CD5">
      <w:pPr>
        <w:spacing w:after="0"/>
      </w:pPr>
      <w:r>
        <w:t xml:space="preserve">The figure below is copied from clause 6.2.1 of TS 23.542, </w:t>
      </w:r>
      <w:r w:rsidRPr="005E2D05">
        <w:t>Application layer support for Personal IoT Network</w:t>
      </w:r>
      <w:r>
        <w:t>.</w:t>
      </w:r>
    </w:p>
    <w:p w14:paraId="6755F845" w14:textId="77777777" w:rsidR="005E2D05" w:rsidRDefault="005E2D05" w:rsidP="00375CD5">
      <w:pPr>
        <w:spacing w:after="0"/>
      </w:pPr>
    </w:p>
    <w:p w14:paraId="0B2AA638" w14:textId="77777777" w:rsidR="005E2D05" w:rsidRDefault="005E2D05" w:rsidP="00375CD5">
      <w:pPr>
        <w:spacing w:after="0"/>
      </w:pPr>
    </w:p>
    <w:p w14:paraId="13B2503E" w14:textId="77777777" w:rsidR="005E2D05" w:rsidRDefault="005E2D05" w:rsidP="005E2D05">
      <w:pPr>
        <w:keepNext/>
        <w:spacing w:after="0"/>
        <w:jc w:val="center"/>
      </w:pPr>
      <w:r>
        <w:object w:dxaOrig="16591" w:dyaOrig="5061" w14:anchorId="28DE9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7.75pt" o:ole="">
            <v:imagedata r:id="rId11" o:title=""/>
          </v:shape>
          <o:OLEObject Type="Embed" ProgID="Visio.Drawing.15" ShapeID="_x0000_i1025" DrawAspect="Content" ObjectID="_1753269521" r:id="rId12"/>
        </w:object>
      </w:r>
    </w:p>
    <w:p w14:paraId="2D2F9C54" w14:textId="51B62537" w:rsidR="005E2D05" w:rsidRDefault="005E2D05" w:rsidP="005E2D05">
      <w:pPr>
        <w:pStyle w:val="Caption"/>
        <w:jc w:val="center"/>
      </w:pPr>
      <w:bookmarkStart w:id="2" w:name="_Ref142301167"/>
      <w:r>
        <w:t xml:space="preserve">Figure </w:t>
      </w:r>
      <w:r>
        <w:fldChar w:fldCharType="begin"/>
      </w:r>
      <w:r>
        <w:instrText xml:space="preserve"> SEQ Figure \* ARABIC </w:instrText>
      </w:r>
      <w:r>
        <w:fldChar w:fldCharType="separate"/>
      </w:r>
      <w:r>
        <w:rPr>
          <w:noProof/>
        </w:rPr>
        <w:t>1</w:t>
      </w:r>
      <w:r>
        <w:fldChar w:fldCharType="end"/>
      </w:r>
      <w:bookmarkEnd w:id="2"/>
      <w:r>
        <w:t>. PINAPP Architecture</w:t>
      </w:r>
    </w:p>
    <w:p w14:paraId="70A4E1DD" w14:textId="77777777" w:rsidR="005E2D05" w:rsidRDefault="005E2D05" w:rsidP="00375CD5">
      <w:pPr>
        <w:spacing w:after="0"/>
      </w:pPr>
    </w:p>
    <w:p w14:paraId="6728DE27" w14:textId="32B96ACD" w:rsidR="00CF1118" w:rsidRDefault="00CF1118" w:rsidP="00375CD5">
      <w:pPr>
        <w:spacing w:after="0"/>
      </w:pPr>
      <w:r>
        <w:t>Observation 1: There is an application layer reference point between the PIN Gateway Client and PIN Server (PIN-7) and an application layer reference point between the PIN Management Client and PIN Server (PIN -6).</w:t>
      </w:r>
    </w:p>
    <w:p w14:paraId="3A44A2B7" w14:textId="77777777" w:rsidR="00CF1118" w:rsidRDefault="00CF1118" w:rsidP="00375CD5">
      <w:pPr>
        <w:spacing w:after="0"/>
      </w:pPr>
    </w:p>
    <w:p w14:paraId="3A9D3E3D" w14:textId="71ACB594" w:rsidR="00CF1118" w:rsidRDefault="00CF1118" w:rsidP="00375CD5">
      <w:pPr>
        <w:spacing w:after="0"/>
      </w:pPr>
      <w:r>
        <w:t xml:space="preserve">TS 23.503 specifies that a PIN ID can be part of a Traffic Descriptor of a URSP Rule.  However, TS 23.503 also makes the following statement about the PIN ID in the traffic descriptor: </w:t>
      </w:r>
      <w:r w:rsidRPr="00CF1118">
        <w:rPr>
          <w:i/>
          <w:iCs/>
        </w:rPr>
        <w:t>“</w:t>
      </w:r>
      <w:r w:rsidRPr="00F40C42">
        <w:rPr>
          <w:b/>
          <w:bCs/>
          <w:i/>
          <w:iCs/>
        </w:rPr>
        <w:t>PIN ID only applies to traffic to/from PINEs</w:t>
      </w:r>
      <w:r w:rsidRPr="00CF1118">
        <w:t>.</w:t>
      </w:r>
      <w:r>
        <w:t>”.</w:t>
      </w:r>
    </w:p>
    <w:p w14:paraId="7433D1DD" w14:textId="77777777" w:rsidR="00F40C42" w:rsidRDefault="00F40C42" w:rsidP="00375CD5">
      <w:pPr>
        <w:spacing w:after="0"/>
      </w:pPr>
    </w:p>
    <w:p w14:paraId="3CE3D3AD" w14:textId="4315336B" w:rsidR="00F40C42" w:rsidRDefault="00F40C42" w:rsidP="00375CD5">
      <w:pPr>
        <w:spacing w:after="0"/>
      </w:pPr>
      <w:r w:rsidRPr="00F40C42">
        <w:rPr>
          <w:b/>
          <w:bCs/>
          <w:u w:val="single"/>
        </w:rPr>
        <w:t>Observation 1:</w:t>
      </w:r>
      <w:r>
        <w:t xml:space="preserve"> Because of the </w:t>
      </w:r>
      <w:r w:rsidRPr="00F40C42">
        <w:rPr>
          <w:b/>
          <w:bCs/>
        </w:rPr>
        <w:t>above</w:t>
      </w:r>
      <w:r>
        <w:t xml:space="preserve"> </w:t>
      </w:r>
      <w:r w:rsidRPr="00F40C42">
        <w:rPr>
          <w:b/>
          <w:bCs/>
        </w:rPr>
        <w:t>restriction</w:t>
      </w:r>
      <w:r>
        <w:t>, the PEGC needs to be configured with different URSP Rules for PINE Traffic and PIN Gateway Client traffic and these different URSP Rules need to map both types of traffic to the same PDU Session.</w:t>
      </w:r>
    </w:p>
    <w:p w14:paraId="1F38E8E0" w14:textId="77777777" w:rsidR="00F40C42" w:rsidRDefault="00F40C42" w:rsidP="00375CD5">
      <w:pPr>
        <w:spacing w:after="0"/>
      </w:pPr>
    </w:p>
    <w:p w14:paraId="3A3B08ED" w14:textId="3FEE63E2" w:rsidR="00F40C42" w:rsidRDefault="00F40C42" w:rsidP="00F40C42">
      <w:pPr>
        <w:spacing w:after="0"/>
      </w:pPr>
      <w:r>
        <w:rPr>
          <w:b/>
          <w:bCs/>
          <w:u w:val="single"/>
        </w:rPr>
        <w:t>Proposal</w:t>
      </w:r>
      <w:r w:rsidR="00706613">
        <w:rPr>
          <w:b/>
          <w:bCs/>
          <w:u w:val="single"/>
        </w:rPr>
        <w:t xml:space="preserve"> 1</w:t>
      </w:r>
      <w:r>
        <w:rPr>
          <w:b/>
          <w:bCs/>
          <w:u w:val="single"/>
        </w:rPr>
        <w:t>:</w:t>
      </w:r>
      <w:r>
        <w:t xml:space="preserve"> It is proposed to remove the restriction from TS 23.50</w:t>
      </w:r>
      <w:r w:rsidR="008F4E9E">
        <w:t>3</w:t>
      </w:r>
      <w:r>
        <w:t xml:space="preserve"> that states </w:t>
      </w:r>
      <w:r w:rsidRPr="00CF1118">
        <w:rPr>
          <w:i/>
          <w:iCs/>
        </w:rPr>
        <w:t>“</w:t>
      </w:r>
      <w:r w:rsidRPr="00F40C42">
        <w:rPr>
          <w:b/>
          <w:bCs/>
          <w:i/>
          <w:iCs/>
        </w:rPr>
        <w:t>PIN ID only applies to traffic to/from PINEs</w:t>
      </w:r>
      <w:r w:rsidRPr="00CF1118">
        <w:t>.</w:t>
      </w:r>
      <w:r>
        <w:t>”. The benefit removing the restriction is that a PIN Gateway Client traffic could then be associated with a PIN ID traffic descriptor and a single URSP Rule could be configured for all of the PIN’s traffic.</w:t>
      </w:r>
    </w:p>
    <w:p w14:paraId="12A77ABA" w14:textId="2AC5D96F" w:rsidR="00706613" w:rsidRPr="00706613" w:rsidRDefault="00706613" w:rsidP="00706613">
      <w:pPr>
        <w:pStyle w:val="Heading2"/>
      </w:pPr>
      <w:r>
        <w:t>1.2 PIN Management Client Traffic</w:t>
      </w:r>
    </w:p>
    <w:p w14:paraId="6C688ECF" w14:textId="63812805" w:rsidR="00706613" w:rsidRDefault="00706613" w:rsidP="00F40C42">
      <w:pPr>
        <w:spacing w:after="0"/>
      </w:pPr>
      <w:r>
        <w:t>TS 23.501 specifies that “</w:t>
      </w:r>
      <w:r w:rsidRPr="00706613">
        <w:rPr>
          <w:b/>
          <w:bCs/>
          <w:i/>
          <w:iCs/>
        </w:rPr>
        <w:t>For a PEGC</w:t>
      </w:r>
      <w:r w:rsidRPr="00706613">
        <w:rPr>
          <w:i/>
          <w:iCs/>
        </w:rPr>
        <w:t xml:space="preserve">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r w:rsidRPr="00706613">
        <w:t>.</w:t>
      </w:r>
      <w:r>
        <w:t>”</w:t>
      </w:r>
    </w:p>
    <w:p w14:paraId="2F494DE7" w14:textId="77777777" w:rsidR="00706613" w:rsidRDefault="00706613" w:rsidP="00F40C42">
      <w:pPr>
        <w:spacing w:after="0"/>
      </w:pPr>
    </w:p>
    <w:p w14:paraId="370B8493" w14:textId="659AF725" w:rsidR="00706613" w:rsidRDefault="00706613" w:rsidP="00F40C42">
      <w:pPr>
        <w:spacing w:after="0"/>
      </w:pPr>
      <w:r>
        <w:t>TS 23.503 specifies that PIN ID is “</w:t>
      </w:r>
      <w:r w:rsidRPr="00706613">
        <w:rPr>
          <w:i/>
          <w:iCs/>
        </w:rPr>
        <w:t xml:space="preserve">Matched against a PIN ID for a specific PIN configured </w:t>
      </w:r>
      <w:r w:rsidRPr="00706613">
        <w:rPr>
          <w:b/>
          <w:bCs/>
          <w:i/>
          <w:iCs/>
        </w:rPr>
        <w:t>in the PEGC</w:t>
      </w:r>
      <w:r w:rsidRPr="00706613">
        <w:rPr>
          <w:i/>
          <w:iCs/>
        </w:rPr>
        <w:t xml:space="preserve"> (NOTE 9)</w:t>
      </w:r>
      <w:r w:rsidRPr="00706613">
        <w:t>.</w:t>
      </w:r>
      <w:r>
        <w:t>”</w:t>
      </w:r>
    </w:p>
    <w:p w14:paraId="58469C27" w14:textId="77777777" w:rsidR="008F4E9E" w:rsidRDefault="008F4E9E" w:rsidP="00F40C42">
      <w:pPr>
        <w:spacing w:after="0"/>
      </w:pPr>
    </w:p>
    <w:p w14:paraId="23F24AD5" w14:textId="36C489E0" w:rsidR="008F4E9E" w:rsidRDefault="008F4E9E" w:rsidP="008F4E9E">
      <w:pPr>
        <w:spacing w:after="0"/>
      </w:pPr>
      <w:r w:rsidRPr="00F40C42">
        <w:rPr>
          <w:b/>
          <w:bCs/>
          <w:u w:val="single"/>
        </w:rPr>
        <w:t xml:space="preserve">Observation </w:t>
      </w:r>
      <w:r>
        <w:rPr>
          <w:b/>
          <w:bCs/>
          <w:u w:val="single"/>
        </w:rPr>
        <w:t>2</w:t>
      </w:r>
      <w:r w:rsidRPr="00F40C42">
        <w:rPr>
          <w:b/>
          <w:bCs/>
          <w:u w:val="single"/>
        </w:rPr>
        <w:t>:</w:t>
      </w:r>
      <w:r>
        <w:t xml:space="preserve"> As shown in </w:t>
      </w:r>
      <w:r>
        <w:fldChar w:fldCharType="begin"/>
      </w:r>
      <w:r>
        <w:instrText xml:space="preserve"> REF _Ref142301167 \h </w:instrText>
      </w:r>
      <w:r>
        <w:fldChar w:fldCharType="separate"/>
      </w:r>
      <w:r>
        <w:t xml:space="preserve">Figure </w:t>
      </w:r>
      <w:r>
        <w:rPr>
          <w:noProof/>
        </w:rPr>
        <w:t>1</w:t>
      </w:r>
      <w:r>
        <w:fldChar w:fldCharType="end"/>
      </w:r>
      <w:r>
        <w:t xml:space="preserve">, a UE may host a </w:t>
      </w:r>
      <w:r w:rsidR="00706613">
        <w:t>PIN Management Client whose traffic needs to be routed to the data network of the PIN</w:t>
      </w:r>
      <w:r>
        <w:t>.</w:t>
      </w:r>
      <w:r w:rsidR="00706613">
        <w:t xml:space="preserve">  Because of phrasing of the TS 23.501 and TS 23.503 text that is quoted above, a PIN ID can not be used in the Traffic Descriptor of a UE that hosts a PIN Management Client and some other Traffic descriptor would need to be used.</w:t>
      </w:r>
    </w:p>
    <w:p w14:paraId="212D8F78" w14:textId="77777777" w:rsidR="008F4E9E" w:rsidRDefault="008F4E9E" w:rsidP="008F4E9E">
      <w:pPr>
        <w:spacing w:after="0"/>
      </w:pPr>
    </w:p>
    <w:p w14:paraId="6BE5AA02" w14:textId="4E82317C" w:rsidR="008F4E9E" w:rsidRDefault="008F4E9E" w:rsidP="008F4E9E">
      <w:pPr>
        <w:spacing w:after="0"/>
      </w:pPr>
      <w:r>
        <w:rPr>
          <w:b/>
          <w:bCs/>
          <w:u w:val="single"/>
        </w:rPr>
        <w:t>Proposal</w:t>
      </w:r>
      <w:r w:rsidR="00706613">
        <w:rPr>
          <w:b/>
          <w:bCs/>
          <w:u w:val="single"/>
        </w:rPr>
        <w:t xml:space="preserve"> 2</w:t>
      </w:r>
      <w:r>
        <w:rPr>
          <w:b/>
          <w:bCs/>
          <w:u w:val="single"/>
        </w:rPr>
        <w:t>:</w:t>
      </w:r>
      <w:r>
        <w:t xml:space="preserve"> It is proposed to </w:t>
      </w:r>
      <w:r w:rsidR="00706613">
        <w:t>rephrase the TS 23.501 and TS 23.503 text that is quoted above so that the PIN ID can be used in a traffic descriptor of a UE, instead of just a PEGC.</w:t>
      </w:r>
    </w:p>
    <w:p w14:paraId="0ED51598" w14:textId="207BD2A0" w:rsidR="00706613" w:rsidRPr="00706613" w:rsidRDefault="00706613" w:rsidP="00706613">
      <w:pPr>
        <w:pStyle w:val="Heading2"/>
      </w:pPr>
      <w:r>
        <w:t>1.</w:t>
      </w:r>
      <w:r w:rsidR="00CE58C0">
        <w:t>3 Grouping of UEs that are Part of a PIN</w:t>
      </w:r>
    </w:p>
    <w:p w14:paraId="2709C0DC" w14:textId="46AF166E" w:rsidR="00F40C42" w:rsidRDefault="00706613" w:rsidP="00F40C42">
      <w:pPr>
        <w:spacing w:after="0"/>
      </w:pPr>
      <w:r>
        <w:t>TS 23.501 states that “</w:t>
      </w:r>
      <w:r w:rsidRPr="00706613">
        <w:rPr>
          <w:i/>
          <w:iCs/>
        </w:rPr>
        <w:t xml:space="preserve">If a PIN contains more than one </w:t>
      </w:r>
      <w:r w:rsidRPr="00706613">
        <w:rPr>
          <w:b/>
          <w:bCs/>
          <w:i/>
          <w:iCs/>
        </w:rPr>
        <w:t>PEGCs</w:t>
      </w:r>
      <w:r w:rsidRPr="00706613">
        <w:rPr>
          <w:i/>
          <w:iCs/>
        </w:rPr>
        <w:t xml:space="preserve">, the list of </w:t>
      </w:r>
      <w:r w:rsidRPr="00706613">
        <w:rPr>
          <w:b/>
          <w:bCs/>
          <w:i/>
          <w:iCs/>
        </w:rPr>
        <w:t>PEGCs</w:t>
      </w:r>
      <w:r w:rsidRPr="00706613">
        <w:rPr>
          <w:i/>
          <w:iCs/>
        </w:rPr>
        <w:t xml:space="preserve"> may be grouped together following the 5G VN group management principles as specified in clause 5.29.2. Then the </w:t>
      </w:r>
      <w:r w:rsidRPr="00706613">
        <w:rPr>
          <w:b/>
          <w:bCs/>
          <w:i/>
          <w:iCs/>
        </w:rPr>
        <w:t>PEGCs</w:t>
      </w:r>
      <w:r w:rsidRPr="00706613">
        <w:rPr>
          <w:i/>
          <w:iCs/>
        </w:rPr>
        <w:t xml:space="preserve"> of a PIN can be identified by an External Group ID by the AF for PIN. The AF for PIN may use the External Group ID to manage the list of PEGC that are part of a PIN and for providing URSP guidance and/or QoS requests applicable to all the PEGC UEs</w:t>
      </w:r>
      <w:r w:rsidRPr="00706613">
        <w:t>.</w:t>
      </w:r>
      <w:r>
        <w:t>”</w:t>
      </w:r>
    </w:p>
    <w:p w14:paraId="48703D55" w14:textId="77777777" w:rsidR="00706613" w:rsidRDefault="00706613" w:rsidP="00F40C42">
      <w:pPr>
        <w:spacing w:after="0"/>
      </w:pPr>
    </w:p>
    <w:p w14:paraId="7FEF26DE" w14:textId="7C9CE9C5" w:rsidR="00706613" w:rsidRDefault="00706613" w:rsidP="00F40C42">
      <w:pPr>
        <w:spacing w:after="0"/>
      </w:pPr>
      <w:r w:rsidRPr="00706613">
        <w:rPr>
          <w:b/>
          <w:bCs/>
          <w:u w:val="single"/>
        </w:rPr>
        <w:t>Observation 3:</w:t>
      </w:r>
      <w:r>
        <w:t xml:space="preserve"> The above text from TS 23.501 restricts the grouping to PEGCs, but it is clear from </w:t>
      </w:r>
      <w:r>
        <w:fldChar w:fldCharType="begin"/>
      </w:r>
      <w:r>
        <w:instrText xml:space="preserve"> REF _Ref142301167 \h </w:instrText>
      </w:r>
      <w:r>
        <w:fldChar w:fldCharType="separate"/>
      </w:r>
      <w:r>
        <w:t xml:space="preserve">Figure </w:t>
      </w:r>
      <w:r>
        <w:rPr>
          <w:noProof/>
        </w:rPr>
        <w:t>1</w:t>
      </w:r>
      <w:r>
        <w:fldChar w:fldCharType="end"/>
      </w:r>
      <w:r>
        <w:t xml:space="preserve"> and TS 23.542 that other types of the UEs can be part of a PIN (e.g. PEMCs).</w:t>
      </w:r>
    </w:p>
    <w:p w14:paraId="4FD1D678" w14:textId="77777777" w:rsidR="00706613" w:rsidRDefault="00706613" w:rsidP="00F40C42">
      <w:pPr>
        <w:spacing w:after="0"/>
      </w:pPr>
    </w:p>
    <w:p w14:paraId="489147CD" w14:textId="48261F9A" w:rsidR="00706613" w:rsidRDefault="00706613" w:rsidP="00F40C42">
      <w:pPr>
        <w:spacing w:after="0"/>
      </w:pPr>
      <w:r w:rsidRPr="00706613">
        <w:rPr>
          <w:b/>
          <w:bCs/>
          <w:u w:val="single"/>
        </w:rPr>
        <w:t>Proposal 3:</w:t>
      </w:r>
      <w:r>
        <w:t xml:space="preserve"> It is proposed to modify the above text to change “PEGC” to “UE (e.g., a PEGC)”.</w:t>
      </w:r>
    </w:p>
    <w:p w14:paraId="31BF4B5C" w14:textId="77777777" w:rsidR="00706613" w:rsidRDefault="00706613" w:rsidP="00F40C42">
      <w:pPr>
        <w:spacing w:after="0"/>
      </w:pPr>
    </w:p>
    <w:p w14:paraId="060EE195" w14:textId="672D39D4" w:rsidR="00CF1118" w:rsidRDefault="00F40C42" w:rsidP="00375CD5">
      <w:pPr>
        <w:spacing w:after="0"/>
      </w:pPr>
      <w:r>
        <w:t>A corresponding TS 23.50</w:t>
      </w:r>
      <w:r w:rsidR="00706613">
        <w:t>1</w:t>
      </w:r>
      <w:r>
        <w:t xml:space="preserve"> CR is submitted in S2-</w:t>
      </w:r>
      <w:r w:rsidR="004E17E9">
        <w:t>2309209</w:t>
      </w:r>
      <w:r>
        <w:t>.</w:t>
      </w:r>
    </w:p>
    <w:p w14:paraId="79848DAC" w14:textId="77777777" w:rsidR="00706613" w:rsidRDefault="00706613" w:rsidP="00375CD5">
      <w:pPr>
        <w:spacing w:after="0"/>
      </w:pPr>
    </w:p>
    <w:p w14:paraId="17309A87" w14:textId="5747579E" w:rsidR="00706613" w:rsidRDefault="00706613" w:rsidP="00706613">
      <w:pPr>
        <w:spacing w:after="0"/>
      </w:pPr>
      <w:r>
        <w:t>A corresponding TS 23.503 CR is submitted in S2-</w:t>
      </w:r>
      <w:r w:rsidR="004E17E9">
        <w:t>230920</w:t>
      </w:r>
      <w:r w:rsidR="004E17E9">
        <w:t>8</w:t>
      </w:r>
      <w:r>
        <w:t>.</w:t>
      </w:r>
    </w:p>
    <w:p w14:paraId="5FC83ADE" w14:textId="77777777" w:rsidR="00706613" w:rsidRDefault="00706613" w:rsidP="00375CD5">
      <w:pPr>
        <w:spacing w:after="0"/>
      </w:pPr>
    </w:p>
    <w:p w14:paraId="3128CC4F" w14:textId="3A396E4E" w:rsidR="005E2D05" w:rsidRDefault="005E2D05" w:rsidP="00375CD5">
      <w:pPr>
        <w:spacing w:after="0"/>
      </w:pPr>
    </w:p>
    <w:sectPr w:rsidR="005E2D05" w:rsidSect="00DF3FAC">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DAC4C" w14:textId="77777777" w:rsidR="004D44B6" w:rsidRDefault="004D44B6">
      <w:r>
        <w:separator/>
      </w:r>
    </w:p>
  </w:endnote>
  <w:endnote w:type="continuationSeparator" w:id="0">
    <w:p w14:paraId="79629977" w14:textId="77777777" w:rsidR="004D44B6" w:rsidRDefault="004D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DEE5" w14:textId="77777777" w:rsidR="004D44B6" w:rsidRDefault="004D44B6">
      <w:r>
        <w:separator/>
      </w:r>
    </w:p>
  </w:footnote>
  <w:footnote w:type="continuationSeparator" w:id="0">
    <w:p w14:paraId="5BADB46C" w14:textId="77777777" w:rsidR="004D44B6" w:rsidRDefault="004D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B447" w14:textId="77777777" w:rsidR="00F84F7E" w:rsidRPr="00287AE7" w:rsidRDefault="00F84F7E" w:rsidP="00DF3FAC">
    <w:pPr>
      <w:framePr w:w="2851" w:h="244" w:hRule="exact" w:wrap="around" w:vAnchor="text" w:hAnchor="page" w:x="1156" w:y="-1"/>
      <w:rPr>
        <w:rFonts w:ascii="Arial" w:hAnsi="Arial" w:cs="Arial"/>
        <w:b/>
        <w:bCs/>
        <w:sz w:val="18"/>
        <w:lang w:val="fr-FR"/>
      </w:rPr>
    </w:pPr>
    <w:r w:rsidRPr="00287AE7">
      <w:rPr>
        <w:rFonts w:ascii="Arial" w:hAnsi="Arial" w:cs="Arial"/>
        <w:b/>
        <w:bCs/>
        <w:sz w:val="18"/>
        <w:lang w:val="fr-FR"/>
      </w:rPr>
      <w:t>SA WG2 Temporary Document</w:t>
    </w:r>
  </w:p>
  <w:p w14:paraId="262D114A" w14:textId="77777777" w:rsidR="00F84F7E" w:rsidRPr="00287AE7" w:rsidRDefault="00F84F7E" w:rsidP="00DF3FAC">
    <w:pPr>
      <w:framePr w:w="946" w:h="272" w:hRule="exact" w:wrap="around" w:vAnchor="text" w:hAnchor="margin" w:xAlign="center" w:y="-1"/>
      <w:rPr>
        <w:rFonts w:ascii="Arial" w:hAnsi="Arial" w:cs="Arial"/>
        <w:b/>
        <w:bCs/>
        <w:sz w:val="18"/>
        <w:lang w:val="fr-FR"/>
      </w:rPr>
    </w:pPr>
    <w:r w:rsidRPr="00287AE7">
      <w:rPr>
        <w:rFonts w:ascii="Arial" w:hAnsi="Arial" w:cs="Arial"/>
        <w:b/>
        <w:bCs/>
        <w:sz w:val="18"/>
        <w:lang w:val="fr-FR"/>
      </w:rPr>
      <w:t xml:space="preserve">Page </w:t>
    </w:r>
    <w:r>
      <w:rPr>
        <w:rFonts w:ascii="Arial" w:hAnsi="Arial" w:cs="Arial"/>
        <w:b/>
        <w:bCs/>
        <w:sz w:val="18"/>
      </w:rPr>
      <w:fldChar w:fldCharType="begin"/>
    </w:r>
    <w:r w:rsidRPr="00287AE7">
      <w:rPr>
        <w:rFonts w:ascii="Arial" w:hAnsi="Arial" w:cs="Arial"/>
        <w:b/>
        <w:bCs/>
        <w:sz w:val="18"/>
        <w:lang w:val="fr-FR"/>
      </w:rPr>
      <w:instrText xml:space="preserve">page </w:instrText>
    </w:r>
    <w:r>
      <w:rPr>
        <w:rFonts w:ascii="Arial" w:hAnsi="Arial" w:cs="Arial"/>
        <w:b/>
        <w:bCs/>
        <w:sz w:val="18"/>
      </w:rPr>
      <w:fldChar w:fldCharType="separate"/>
    </w:r>
    <w:r w:rsidR="00BF7F11" w:rsidRPr="00287AE7">
      <w:rPr>
        <w:rFonts w:ascii="Arial" w:hAnsi="Arial" w:cs="Arial"/>
        <w:b/>
        <w:bCs/>
        <w:noProof/>
        <w:sz w:val="18"/>
        <w:lang w:val="fr-FR"/>
      </w:rPr>
      <w:t>4</w:t>
    </w:r>
    <w:r>
      <w:rPr>
        <w:rFonts w:ascii="Arial" w:hAnsi="Arial" w:cs="Arial"/>
        <w:b/>
        <w:bCs/>
        <w:sz w:val="18"/>
      </w:rPr>
      <w:fldChar w:fldCharType="end"/>
    </w:r>
  </w:p>
  <w:p w14:paraId="29FD0359" w14:textId="77777777" w:rsidR="00F84F7E" w:rsidRPr="00287AE7" w:rsidRDefault="00F84F7E" w:rsidP="00DF3FAC">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AF1345"/>
    <w:multiLevelType w:val="hybridMultilevel"/>
    <w:tmpl w:val="01F68AFC"/>
    <w:lvl w:ilvl="0" w:tplc="70BC45DA">
      <w:start w:val="1"/>
      <w:numFmt w:val="bullet"/>
      <w:lvlText w:val="•"/>
      <w:lvlJc w:val="left"/>
      <w:pPr>
        <w:tabs>
          <w:tab w:val="num" w:pos="720"/>
        </w:tabs>
        <w:ind w:left="720" w:hanging="360"/>
      </w:pPr>
      <w:rPr>
        <w:rFonts w:ascii="Arial" w:hAnsi="Arial" w:cs="Times New Roman" w:hint="default"/>
      </w:rPr>
    </w:lvl>
    <w:lvl w:ilvl="1" w:tplc="0A1887A0">
      <w:start w:val="1"/>
      <w:numFmt w:val="bullet"/>
      <w:lvlText w:val="•"/>
      <w:lvlJc w:val="left"/>
      <w:pPr>
        <w:tabs>
          <w:tab w:val="num" w:pos="1440"/>
        </w:tabs>
        <w:ind w:left="1440" w:hanging="360"/>
      </w:pPr>
      <w:rPr>
        <w:rFonts w:ascii="Arial" w:hAnsi="Arial" w:cs="Times New Roman" w:hint="default"/>
      </w:rPr>
    </w:lvl>
    <w:lvl w:ilvl="2" w:tplc="ABD81550">
      <w:start w:val="1"/>
      <w:numFmt w:val="bullet"/>
      <w:lvlText w:val="•"/>
      <w:lvlJc w:val="left"/>
      <w:pPr>
        <w:tabs>
          <w:tab w:val="num" w:pos="2160"/>
        </w:tabs>
        <w:ind w:left="2160" w:hanging="360"/>
      </w:pPr>
      <w:rPr>
        <w:rFonts w:ascii="Arial" w:hAnsi="Arial" w:cs="Times New Roman" w:hint="default"/>
      </w:rPr>
    </w:lvl>
    <w:lvl w:ilvl="3" w:tplc="09380EC6">
      <w:start w:val="1"/>
      <w:numFmt w:val="bullet"/>
      <w:lvlText w:val="•"/>
      <w:lvlJc w:val="left"/>
      <w:pPr>
        <w:tabs>
          <w:tab w:val="num" w:pos="2880"/>
        </w:tabs>
        <w:ind w:left="2880" w:hanging="360"/>
      </w:pPr>
      <w:rPr>
        <w:rFonts w:ascii="Arial" w:hAnsi="Arial" w:cs="Times New Roman" w:hint="default"/>
      </w:rPr>
    </w:lvl>
    <w:lvl w:ilvl="4" w:tplc="234C7212">
      <w:start w:val="1"/>
      <w:numFmt w:val="bullet"/>
      <w:lvlText w:val="•"/>
      <w:lvlJc w:val="left"/>
      <w:pPr>
        <w:tabs>
          <w:tab w:val="num" w:pos="3600"/>
        </w:tabs>
        <w:ind w:left="3600" w:hanging="360"/>
      </w:pPr>
      <w:rPr>
        <w:rFonts w:ascii="Arial" w:hAnsi="Arial" w:cs="Times New Roman" w:hint="default"/>
      </w:rPr>
    </w:lvl>
    <w:lvl w:ilvl="5" w:tplc="B6649CAC">
      <w:start w:val="1"/>
      <w:numFmt w:val="bullet"/>
      <w:lvlText w:val="•"/>
      <w:lvlJc w:val="left"/>
      <w:pPr>
        <w:tabs>
          <w:tab w:val="num" w:pos="4320"/>
        </w:tabs>
        <w:ind w:left="4320" w:hanging="360"/>
      </w:pPr>
      <w:rPr>
        <w:rFonts w:ascii="Arial" w:hAnsi="Arial" w:cs="Times New Roman" w:hint="default"/>
      </w:rPr>
    </w:lvl>
    <w:lvl w:ilvl="6" w:tplc="0002855A">
      <w:start w:val="1"/>
      <w:numFmt w:val="bullet"/>
      <w:lvlText w:val="•"/>
      <w:lvlJc w:val="left"/>
      <w:pPr>
        <w:tabs>
          <w:tab w:val="num" w:pos="5040"/>
        </w:tabs>
        <w:ind w:left="5040" w:hanging="360"/>
      </w:pPr>
      <w:rPr>
        <w:rFonts w:ascii="Arial" w:hAnsi="Arial" w:cs="Times New Roman" w:hint="default"/>
      </w:rPr>
    </w:lvl>
    <w:lvl w:ilvl="7" w:tplc="5D6ED908">
      <w:start w:val="1"/>
      <w:numFmt w:val="bullet"/>
      <w:lvlText w:val="•"/>
      <w:lvlJc w:val="left"/>
      <w:pPr>
        <w:tabs>
          <w:tab w:val="num" w:pos="5760"/>
        </w:tabs>
        <w:ind w:left="5760" w:hanging="360"/>
      </w:pPr>
      <w:rPr>
        <w:rFonts w:ascii="Arial" w:hAnsi="Arial" w:cs="Times New Roman" w:hint="default"/>
      </w:rPr>
    </w:lvl>
    <w:lvl w:ilvl="8" w:tplc="ADEA98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1D27CB"/>
    <w:multiLevelType w:val="hybridMultilevel"/>
    <w:tmpl w:val="BD80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74FCD"/>
    <w:multiLevelType w:val="hybridMultilevel"/>
    <w:tmpl w:val="723273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4"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CD6914"/>
    <w:multiLevelType w:val="hybridMultilevel"/>
    <w:tmpl w:val="21F07E9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547880"/>
    <w:multiLevelType w:val="hybridMultilevel"/>
    <w:tmpl w:val="D36C8E1E"/>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33CD73BE"/>
    <w:multiLevelType w:val="hybridMultilevel"/>
    <w:tmpl w:val="FEBC2B22"/>
    <w:lvl w:ilvl="0" w:tplc="CA14DBD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4"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9A7C24"/>
    <w:multiLevelType w:val="hybridMultilevel"/>
    <w:tmpl w:val="9C54C54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7234FA9"/>
    <w:multiLevelType w:val="hybridMultilevel"/>
    <w:tmpl w:val="8A36C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9"/>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30"/>
  </w:num>
  <w:num w:numId="7" w16cid:durableId="302194632">
    <w:abstractNumId w:val="31"/>
  </w:num>
  <w:num w:numId="8" w16cid:durableId="1678532724">
    <w:abstractNumId w:val="29"/>
  </w:num>
  <w:num w:numId="9" w16cid:durableId="250818282">
    <w:abstractNumId w:val="18"/>
  </w:num>
  <w:num w:numId="10" w16cid:durableId="1888565335">
    <w:abstractNumId w:val="37"/>
  </w:num>
  <w:num w:numId="11" w16cid:durableId="660818633">
    <w:abstractNumId w:val="38"/>
  </w:num>
  <w:num w:numId="12" w16cid:durableId="854417622">
    <w:abstractNumId w:val="32"/>
  </w:num>
  <w:num w:numId="13" w16cid:durableId="1018046025">
    <w:abstractNumId w:val="11"/>
  </w:num>
  <w:num w:numId="14" w16cid:durableId="2085452832">
    <w:abstractNumId w:val="23"/>
  </w:num>
  <w:num w:numId="15" w16cid:durableId="683555718">
    <w:abstractNumId w:val="20"/>
  </w:num>
  <w:num w:numId="16" w16cid:durableId="1285817965">
    <w:abstractNumId w:val="4"/>
  </w:num>
  <w:num w:numId="17" w16cid:durableId="1109161585">
    <w:abstractNumId w:val="12"/>
  </w:num>
  <w:num w:numId="18" w16cid:durableId="421419066">
    <w:abstractNumId w:val="28"/>
  </w:num>
  <w:num w:numId="19" w16cid:durableId="1845627224">
    <w:abstractNumId w:val="34"/>
  </w:num>
  <w:num w:numId="20" w16cid:durableId="545485689">
    <w:abstractNumId w:val="36"/>
  </w:num>
  <w:num w:numId="21" w16cid:durableId="1150485041">
    <w:abstractNumId w:val="22"/>
  </w:num>
  <w:num w:numId="22" w16cid:durableId="1182817663">
    <w:abstractNumId w:val="15"/>
  </w:num>
  <w:num w:numId="23" w16cid:durableId="404689289">
    <w:abstractNumId w:val="33"/>
  </w:num>
  <w:num w:numId="24" w16cid:durableId="1795177902">
    <w:abstractNumId w:val="21"/>
  </w:num>
  <w:num w:numId="25" w16cid:durableId="181869545">
    <w:abstractNumId w:val="14"/>
  </w:num>
  <w:num w:numId="26" w16cid:durableId="1953199711">
    <w:abstractNumId w:val="27"/>
  </w:num>
  <w:num w:numId="27" w16cid:durableId="1841389422">
    <w:abstractNumId w:val="24"/>
  </w:num>
  <w:num w:numId="28" w16cid:durableId="966740237">
    <w:abstractNumId w:val="35"/>
  </w:num>
  <w:num w:numId="29" w16cid:durableId="754742104">
    <w:abstractNumId w:val="5"/>
  </w:num>
  <w:num w:numId="30" w16cid:durableId="1152331791">
    <w:abstractNumId w:val="3"/>
  </w:num>
  <w:num w:numId="31" w16cid:durableId="1687320346">
    <w:abstractNumId w:val="23"/>
  </w:num>
  <w:num w:numId="32" w16cid:durableId="2085640964">
    <w:abstractNumId w:val="13"/>
  </w:num>
  <w:num w:numId="33" w16cid:durableId="945504657">
    <w:abstractNumId w:val="7"/>
  </w:num>
  <w:num w:numId="34" w16cid:durableId="1467313474">
    <w:abstractNumId w:val="26"/>
  </w:num>
  <w:num w:numId="35" w16cid:durableId="226308181">
    <w:abstractNumId w:val="17"/>
  </w:num>
  <w:num w:numId="36" w16cid:durableId="1107509052">
    <w:abstractNumId w:val="19"/>
  </w:num>
  <w:num w:numId="37" w16cid:durableId="2024161257">
    <w:abstractNumId w:val="16"/>
  </w:num>
  <w:num w:numId="38" w16cid:durableId="1581793601">
    <w:abstractNumId w:val="8"/>
  </w:num>
  <w:num w:numId="39" w16cid:durableId="777214985">
    <w:abstractNumId w:val="9"/>
  </w:num>
  <w:num w:numId="40" w16cid:durableId="1004868406">
    <w:abstractNumId w:val="25"/>
  </w:num>
  <w:num w:numId="41" w16cid:durableId="173515562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381"/>
    <w:rsid w:val="00074904"/>
    <w:rsid w:val="00074A22"/>
    <w:rsid w:val="00074A67"/>
    <w:rsid w:val="00075AC8"/>
    <w:rsid w:val="00076B5D"/>
    <w:rsid w:val="00077937"/>
    <w:rsid w:val="00077B74"/>
    <w:rsid w:val="00077B77"/>
    <w:rsid w:val="00077CA3"/>
    <w:rsid w:val="000817AE"/>
    <w:rsid w:val="00083339"/>
    <w:rsid w:val="00083826"/>
    <w:rsid w:val="00086F8B"/>
    <w:rsid w:val="00087DCD"/>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47E6"/>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5A98"/>
    <w:rsid w:val="000C7C42"/>
    <w:rsid w:val="000C7D04"/>
    <w:rsid w:val="000C7F33"/>
    <w:rsid w:val="000D058D"/>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322"/>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3BB9"/>
    <w:rsid w:val="001D41E0"/>
    <w:rsid w:val="001D44B4"/>
    <w:rsid w:val="001D44C6"/>
    <w:rsid w:val="001D48B4"/>
    <w:rsid w:val="001D49E4"/>
    <w:rsid w:val="001E06EE"/>
    <w:rsid w:val="001E1576"/>
    <w:rsid w:val="001E3C28"/>
    <w:rsid w:val="001E4376"/>
    <w:rsid w:val="001E5AC9"/>
    <w:rsid w:val="001E5F98"/>
    <w:rsid w:val="001E6A58"/>
    <w:rsid w:val="001E77C4"/>
    <w:rsid w:val="001F0BF0"/>
    <w:rsid w:val="001F124D"/>
    <w:rsid w:val="001F163E"/>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207"/>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3C8D"/>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AE7"/>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131A"/>
    <w:rsid w:val="002C2321"/>
    <w:rsid w:val="002C383A"/>
    <w:rsid w:val="002C49DA"/>
    <w:rsid w:val="002C4ABE"/>
    <w:rsid w:val="002C4E1A"/>
    <w:rsid w:val="002C5883"/>
    <w:rsid w:val="002C6151"/>
    <w:rsid w:val="002C7A09"/>
    <w:rsid w:val="002D04DD"/>
    <w:rsid w:val="002D060F"/>
    <w:rsid w:val="002D0A30"/>
    <w:rsid w:val="002D0F5A"/>
    <w:rsid w:val="002D1909"/>
    <w:rsid w:val="002D3AB2"/>
    <w:rsid w:val="002D3B8C"/>
    <w:rsid w:val="002D46B4"/>
    <w:rsid w:val="002D4763"/>
    <w:rsid w:val="002D4EE5"/>
    <w:rsid w:val="002D5070"/>
    <w:rsid w:val="002D522A"/>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45FA"/>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212"/>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8F1"/>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7C47"/>
    <w:rsid w:val="00440277"/>
    <w:rsid w:val="00441C20"/>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A4B"/>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33E"/>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35B"/>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4B6"/>
    <w:rsid w:val="004D4F35"/>
    <w:rsid w:val="004D5CD5"/>
    <w:rsid w:val="004D5ECB"/>
    <w:rsid w:val="004D6089"/>
    <w:rsid w:val="004D6D41"/>
    <w:rsid w:val="004D73BD"/>
    <w:rsid w:val="004D7747"/>
    <w:rsid w:val="004D7EDF"/>
    <w:rsid w:val="004E006A"/>
    <w:rsid w:val="004E0684"/>
    <w:rsid w:val="004E17E9"/>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36D"/>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2631"/>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D05"/>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282"/>
    <w:rsid w:val="006348B7"/>
    <w:rsid w:val="00635A83"/>
    <w:rsid w:val="00635CDD"/>
    <w:rsid w:val="0063665B"/>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8C7"/>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065"/>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6613"/>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7F2"/>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2CA1"/>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6CD"/>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0E0C"/>
    <w:rsid w:val="008518D1"/>
    <w:rsid w:val="00851D7A"/>
    <w:rsid w:val="00852912"/>
    <w:rsid w:val="00853118"/>
    <w:rsid w:val="00853AE4"/>
    <w:rsid w:val="00853D73"/>
    <w:rsid w:val="008541B5"/>
    <w:rsid w:val="0085428E"/>
    <w:rsid w:val="008542DC"/>
    <w:rsid w:val="0085430B"/>
    <w:rsid w:val="00854B1E"/>
    <w:rsid w:val="008569F2"/>
    <w:rsid w:val="00856F3B"/>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5FB"/>
    <w:rsid w:val="0088205A"/>
    <w:rsid w:val="008827BA"/>
    <w:rsid w:val="008833C2"/>
    <w:rsid w:val="008834D7"/>
    <w:rsid w:val="00883BAF"/>
    <w:rsid w:val="00884E2A"/>
    <w:rsid w:val="00885312"/>
    <w:rsid w:val="00885477"/>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4E9E"/>
    <w:rsid w:val="008F5324"/>
    <w:rsid w:val="008F559C"/>
    <w:rsid w:val="008F622D"/>
    <w:rsid w:val="008F6452"/>
    <w:rsid w:val="008F7868"/>
    <w:rsid w:val="00901014"/>
    <w:rsid w:val="0090182C"/>
    <w:rsid w:val="00903015"/>
    <w:rsid w:val="00903209"/>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0EEF"/>
    <w:rsid w:val="009D384B"/>
    <w:rsid w:val="009D3DAA"/>
    <w:rsid w:val="009D4327"/>
    <w:rsid w:val="009D4A22"/>
    <w:rsid w:val="009D5C69"/>
    <w:rsid w:val="009D671B"/>
    <w:rsid w:val="009D7A83"/>
    <w:rsid w:val="009E0195"/>
    <w:rsid w:val="009E0A71"/>
    <w:rsid w:val="009E1F3C"/>
    <w:rsid w:val="009E4853"/>
    <w:rsid w:val="009E4A05"/>
    <w:rsid w:val="009E60BC"/>
    <w:rsid w:val="009E67F3"/>
    <w:rsid w:val="009E6D3C"/>
    <w:rsid w:val="009E7310"/>
    <w:rsid w:val="009E7742"/>
    <w:rsid w:val="009F149B"/>
    <w:rsid w:val="009F1733"/>
    <w:rsid w:val="009F19AB"/>
    <w:rsid w:val="009F1D0F"/>
    <w:rsid w:val="009F2301"/>
    <w:rsid w:val="009F253B"/>
    <w:rsid w:val="009F278E"/>
    <w:rsid w:val="009F3100"/>
    <w:rsid w:val="009F4AC9"/>
    <w:rsid w:val="009F4E8C"/>
    <w:rsid w:val="009F552B"/>
    <w:rsid w:val="009F5A46"/>
    <w:rsid w:val="009F6D8A"/>
    <w:rsid w:val="009F76B4"/>
    <w:rsid w:val="00A00D74"/>
    <w:rsid w:val="00A0177E"/>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352"/>
    <w:rsid w:val="00A25A5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1BAD"/>
    <w:rsid w:val="00A7213A"/>
    <w:rsid w:val="00A72754"/>
    <w:rsid w:val="00A75517"/>
    <w:rsid w:val="00A75E1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FB0"/>
    <w:rsid w:val="00AB4A72"/>
    <w:rsid w:val="00AB4F93"/>
    <w:rsid w:val="00AB780A"/>
    <w:rsid w:val="00AB787F"/>
    <w:rsid w:val="00AC0102"/>
    <w:rsid w:val="00AC043C"/>
    <w:rsid w:val="00AC1BC3"/>
    <w:rsid w:val="00AC4103"/>
    <w:rsid w:val="00AC4DDC"/>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160"/>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3FAA"/>
    <w:rsid w:val="00C35450"/>
    <w:rsid w:val="00C357AF"/>
    <w:rsid w:val="00C35CC8"/>
    <w:rsid w:val="00C35DD3"/>
    <w:rsid w:val="00C35E57"/>
    <w:rsid w:val="00C369AA"/>
    <w:rsid w:val="00C400A4"/>
    <w:rsid w:val="00C4011E"/>
    <w:rsid w:val="00C42091"/>
    <w:rsid w:val="00C42BC7"/>
    <w:rsid w:val="00C42D11"/>
    <w:rsid w:val="00C43B62"/>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8AB"/>
    <w:rsid w:val="00CE58C0"/>
    <w:rsid w:val="00CE5B78"/>
    <w:rsid w:val="00CE66A3"/>
    <w:rsid w:val="00CE7BEE"/>
    <w:rsid w:val="00CF0DF0"/>
    <w:rsid w:val="00CF1118"/>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42F7"/>
    <w:rsid w:val="00EB534C"/>
    <w:rsid w:val="00EB568B"/>
    <w:rsid w:val="00EB688A"/>
    <w:rsid w:val="00EB76C7"/>
    <w:rsid w:val="00EC05E3"/>
    <w:rsid w:val="00EC067D"/>
    <w:rsid w:val="00EC0768"/>
    <w:rsid w:val="00EC0D2B"/>
    <w:rsid w:val="00EC3023"/>
    <w:rsid w:val="00EC31F3"/>
    <w:rsid w:val="00EC4446"/>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5FA8"/>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0C42"/>
    <w:rsid w:val="00F41941"/>
    <w:rsid w:val="00F41DEE"/>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198"/>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21D"/>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646"/>
    <w:rsid w:val="00FD4D43"/>
    <w:rsid w:val="00FD51A4"/>
    <w:rsid w:val="00FD575B"/>
    <w:rsid w:val="00FD58D4"/>
    <w:rsid w:val="00FD70A5"/>
    <w:rsid w:val="00FD77C1"/>
    <w:rsid w:val="00FE153B"/>
    <w:rsid w:val="00FE2820"/>
    <w:rsid w:val="00FE30DA"/>
    <w:rsid w:val="00FE3A3E"/>
    <w:rsid w:val="00FE46C0"/>
    <w:rsid w:val="00FE5065"/>
    <w:rsid w:val="00FE53F2"/>
    <w:rsid w:val="00FE7497"/>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7914">
      <w:bodyDiv w:val="1"/>
      <w:marLeft w:val="0"/>
      <w:marRight w:val="0"/>
      <w:marTop w:val="0"/>
      <w:marBottom w:val="0"/>
      <w:divBdr>
        <w:top w:val="none" w:sz="0" w:space="0" w:color="auto"/>
        <w:left w:val="none" w:sz="0" w:space="0" w:color="auto"/>
        <w:bottom w:val="none" w:sz="0" w:space="0" w:color="auto"/>
        <w:right w:val="none" w:sz="0" w:space="0" w:color="auto"/>
      </w:divBdr>
    </w:div>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75006448">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757283422">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E6CCB-BC6D-40C1-83C7-8F51BDF4660B}">
  <ds:schemaRef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e32f50e1-6846-4d7d-ad60-ccd6877e6c5e"/>
    <ds:schemaRef ds:uri="http://schemas.openxmlformats.org/package/2006/metadata/core-properties"/>
    <ds:schemaRef ds:uri="23a22248-acb0-4303-bd1b-c36b2527d0a2"/>
    <ds:schemaRef ds:uri="http://schemas.microsoft.com/sharepoint/v4"/>
    <ds:schemaRef ds:uri="5a888943-97ca-4c93-b605-714bb5e9e28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47C5516-9E80-4C13-962E-3D8D5CA07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customXml/itemProps4.xml><?xml version="1.0" encoding="utf-8"?>
<ds:datastoreItem xmlns:ds="http://schemas.openxmlformats.org/officeDocument/2006/customXml" ds:itemID="{018C5054-4CFE-4C54-8582-C37FC4570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1091</TotalTime>
  <Pages>2</Pages>
  <Words>559</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3740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Michael Starsinic</cp:lastModifiedBy>
  <cp:revision>21</cp:revision>
  <dcterms:created xsi:type="dcterms:W3CDTF">2023-05-10T21:32:00Z</dcterms:created>
  <dcterms:modified xsi:type="dcterms:W3CDTF">2023-08-11T18:32:00Z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y fmtid="{D5CDD505-2E9C-101B-9397-08002B2CF9AE}" pid="16" name="MediaServiceImageTags">
    <vt:lpwstr/>
  </property>
</Properties>
</file>