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160F3EC6"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155</w:t>
      </w:r>
      <w:r>
        <w:rPr>
          <w:rFonts w:cs="Arial"/>
          <w:b/>
          <w:noProof/>
          <w:sz w:val="24"/>
        </w:rPr>
        <w:tab/>
      </w:r>
      <w:r w:rsidR="00436C52" w:rsidRPr="00436C52">
        <w:rPr>
          <w:rFonts w:cs="Arial"/>
          <w:b/>
          <w:noProof/>
          <w:sz w:val="24"/>
        </w:rPr>
        <w:t>S2-2302971</w:t>
      </w:r>
    </w:p>
    <w:p w14:paraId="5533FB7A" w14:textId="77777777" w:rsidR="008F4EDF" w:rsidRDefault="005D2A65" w:rsidP="008F4EDF">
      <w:pPr>
        <w:pStyle w:val="CRCoverPage"/>
        <w:pBdr>
          <w:bottom w:val="single" w:sz="4" w:space="1" w:color="auto"/>
        </w:pBdr>
        <w:tabs>
          <w:tab w:val="right" w:pos="9639"/>
        </w:tabs>
        <w:spacing w:after="0"/>
        <w:rPr>
          <w:rFonts w:cs="Arial"/>
          <w:b/>
          <w:noProof/>
          <w:color w:val="0070C0"/>
          <w:sz w:val="24"/>
        </w:rPr>
      </w:pPr>
      <w:r>
        <w:rPr>
          <w:b/>
          <w:noProof/>
          <w:sz w:val="24"/>
        </w:rPr>
        <w:t>February 20 – 24</w:t>
      </w:r>
      <w:r w:rsidR="000F67C2">
        <w:rPr>
          <w:b/>
          <w:noProof/>
          <w:sz w:val="24"/>
        </w:rPr>
        <w:t xml:space="preserve">, </w:t>
      </w:r>
      <w:r w:rsidR="00097868">
        <w:rPr>
          <w:rFonts w:cs="Arial"/>
          <w:b/>
          <w:noProof/>
          <w:sz w:val="24"/>
        </w:rPr>
        <w:t>202</w:t>
      </w:r>
      <w:r w:rsidR="00680F3C">
        <w:rPr>
          <w:rFonts w:cs="Arial"/>
          <w:b/>
          <w:noProof/>
          <w:sz w:val="24"/>
        </w:rPr>
        <w:t>3</w:t>
      </w:r>
      <w:r w:rsidR="00C07194">
        <w:rPr>
          <w:rFonts w:cs="Arial"/>
          <w:b/>
          <w:noProof/>
          <w:sz w:val="24"/>
        </w:rPr>
        <w:t xml:space="preserve">, </w:t>
      </w:r>
      <w:r>
        <w:rPr>
          <w:rFonts w:cs="Arial"/>
          <w:b/>
          <w:noProof/>
          <w:sz w:val="24"/>
        </w:rPr>
        <w:t>Athens, Greece</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6DCEF0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A871C1">
        <w:rPr>
          <w:rFonts w:ascii="Arial" w:hAnsi="Arial" w:cs="Arial"/>
          <w:b/>
        </w:rPr>
        <w:t xml:space="preserve">Aspects related to </w:t>
      </w:r>
      <w:r w:rsidR="00A871C1" w:rsidRPr="00A871C1">
        <w:rPr>
          <w:rFonts w:ascii="Arial" w:hAnsi="Arial" w:cs="Arial"/>
          <w:b/>
        </w:rPr>
        <w:t>support of limited AoS slices not matching deployed TA</w:t>
      </w:r>
      <w:r w:rsidR="00A871C1">
        <w:rPr>
          <w:rFonts w:ascii="Arial" w:hAnsi="Arial" w:cs="Arial"/>
          <w:b/>
        </w:rPr>
        <w:t>s</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1ECE53BF"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F17EFD">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77777777"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A871C1" w:rsidRPr="00A871C1">
        <w:t xml:space="preserve"> </w:t>
      </w:r>
      <w:r w:rsidR="00A871C1">
        <w:rPr>
          <w:rFonts w:ascii="Arial" w:hAnsi="Arial" w:cs="Arial"/>
          <w:i/>
        </w:rPr>
        <w:t>a</w:t>
      </w:r>
      <w:r w:rsidR="00A871C1" w:rsidRPr="00A871C1">
        <w:rPr>
          <w:rFonts w:ascii="Arial" w:hAnsi="Arial" w:cs="Arial"/>
          <w:i/>
        </w:rPr>
        <w:t>spects related to support of limited AoS slices not matching deployed TAs</w:t>
      </w:r>
      <w:r w:rsidR="00A871C1">
        <w:rPr>
          <w:rFonts w:ascii="Arial" w:hAnsi="Arial" w:cs="Arial"/>
          <w:i/>
        </w:rPr>
        <w:t xml:space="preserve"> and proposes way forward for how to handle the areas</w:t>
      </w:r>
      <w:r w:rsidR="00D00459">
        <w:rPr>
          <w:rFonts w:ascii="Arial" w:hAnsi="Arial" w:cs="Arial"/>
          <w:i/>
        </w:rPr>
        <w:t>.</w:t>
      </w:r>
    </w:p>
    <w:p w14:paraId="2257102E" w14:textId="77777777" w:rsidR="006B479A" w:rsidRDefault="00FB24C6" w:rsidP="00FB24C6">
      <w:pPr>
        <w:pStyle w:val="Heading1"/>
      </w:pPr>
      <w:r>
        <w:t>Discussion</w:t>
      </w:r>
    </w:p>
    <w:p w14:paraId="011482A4" w14:textId="77777777" w:rsidR="00FB24C6" w:rsidRDefault="00CA6102" w:rsidP="00FB24C6">
      <w:r>
        <w:t>GST attribute Area of service can be seen as corresponding to coverageArea.</w:t>
      </w:r>
    </w:p>
    <w:p w14:paraId="0AE47D76" w14:textId="77777777" w:rsidR="00CA6102" w:rsidRDefault="00CA6102" w:rsidP="00FB24C6">
      <w:r>
        <w:t>The meaning of the two are as follows:</w:t>
      </w:r>
    </w:p>
    <w:p w14:paraId="7AADCDF7" w14:textId="77777777" w:rsidR="00CA6102" w:rsidRDefault="007D7E41" w:rsidP="00FB24C6">
      <w:r>
        <w:t xml:space="preserve">GSMA </w:t>
      </w:r>
      <w:r w:rsidR="00CA6102">
        <w:t>NG.116</w:t>
      </w:r>
      <w:r w:rsidR="00EC5C3A">
        <w:t xml:space="preserve"> v7.0</w:t>
      </w:r>
      <w:r w:rsidR="00CA6102">
        <w:t>:</w:t>
      </w:r>
    </w:p>
    <w:p w14:paraId="78C3679D" w14:textId="77777777" w:rsidR="00EC5C3A" w:rsidRPr="00EC5C3A" w:rsidRDefault="00EC5C3A" w:rsidP="00EC5C3A">
      <w:pPr>
        <w:autoSpaceDE w:val="0"/>
        <w:autoSpaceDN w:val="0"/>
        <w:adjustRightInd w:val="0"/>
        <w:spacing w:after="0"/>
        <w:rPr>
          <w:rFonts w:ascii="Arial" w:hAnsi="Arial" w:cs="Arial"/>
          <w:b/>
          <w:sz w:val="24"/>
          <w:szCs w:val="24"/>
        </w:rPr>
      </w:pPr>
      <w:r w:rsidRPr="00EC5C3A">
        <w:rPr>
          <w:rFonts w:ascii="Arial" w:hAnsi="Arial" w:cs="Arial"/>
          <w:b/>
          <w:sz w:val="24"/>
          <w:szCs w:val="24"/>
        </w:rPr>
        <w:t xml:space="preserve">Area of service </w:t>
      </w:r>
    </w:p>
    <w:p w14:paraId="7B6AE366" w14:textId="77777777" w:rsidR="00EC5C3A" w:rsidRPr="00EC5C3A" w:rsidRDefault="00EC5C3A" w:rsidP="00EC5C3A">
      <w:pPr>
        <w:autoSpaceDE w:val="0"/>
        <w:autoSpaceDN w:val="0"/>
        <w:adjustRightInd w:val="0"/>
        <w:spacing w:after="0"/>
        <w:rPr>
          <w:rFonts w:ascii="Arial" w:hAnsi="Arial" w:cs="Arial"/>
          <w:sz w:val="22"/>
          <w:szCs w:val="22"/>
        </w:rPr>
      </w:pPr>
      <w:r w:rsidRPr="00EC5C3A">
        <w:rPr>
          <w:rFonts w:ascii="Arial" w:hAnsi="Arial" w:cs="Arial"/>
          <w:sz w:val="22"/>
          <w:szCs w:val="22"/>
        </w:rPr>
        <w:t xml:space="preserve">This attribute specifies the area </w:t>
      </w:r>
      <w:r w:rsidRPr="00EC5C3A">
        <w:rPr>
          <w:rFonts w:ascii="Arial" w:hAnsi="Arial" w:cs="Arial"/>
          <w:b/>
          <w:sz w:val="22"/>
          <w:szCs w:val="22"/>
        </w:rPr>
        <w:t>where the UEs can access a particular network slice</w:t>
      </w:r>
      <w:r w:rsidRPr="00EC5C3A">
        <w:rPr>
          <w:rFonts w:ascii="Arial" w:hAnsi="Arial" w:cs="Arial"/>
          <w:sz w:val="22"/>
          <w:szCs w:val="22"/>
        </w:rPr>
        <w:t xml:space="preserve">. </w:t>
      </w:r>
    </w:p>
    <w:p w14:paraId="4EA2B983" w14:textId="77777777" w:rsidR="00EC5C3A" w:rsidRPr="00EC5C3A" w:rsidRDefault="00EC5C3A" w:rsidP="00EC5C3A">
      <w:pPr>
        <w:autoSpaceDE w:val="0"/>
        <w:autoSpaceDN w:val="0"/>
        <w:adjustRightInd w:val="0"/>
        <w:spacing w:after="0"/>
        <w:rPr>
          <w:rFonts w:ascii="Arial" w:hAnsi="Arial" w:cs="Arial"/>
          <w:sz w:val="22"/>
          <w:szCs w:val="22"/>
        </w:rPr>
      </w:pPr>
      <w:r w:rsidRPr="00EC5C3A">
        <w:rPr>
          <w:rFonts w:ascii="Arial" w:hAnsi="Arial" w:cs="Arial"/>
          <w:sz w:val="22"/>
          <w:szCs w:val="22"/>
        </w:rPr>
        <w:t xml:space="preserve">Therefore, the attribute specifies the list of the countries </w:t>
      </w:r>
      <w:r w:rsidRPr="00EC5C3A">
        <w:rPr>
          <w:rFonts w:ascii="Arial" w:hAnsi="Arial" w:cs="Arial"/>
          <w:b/>
          <w:sz w:val="22"/>
          <w:szCs w:val="22"/>
        </w:rPr>
        <w:t>where the service will be provided</w:t>
      </w:r>
      <w:r w:rsidRPr="00EC5C3A">
        <w:rPr>
          <w:rFonts w:ascii="Arial" w:hAnsi="Arial" w:cs="Arial"/>
          <w:sz w:val="22"/>
          <w:szCs w:val="22"/>
        </w:rPr>
        <w:t xml:space="preserve">. The list is specific to NSPs and their roaming agreements. </w:t>
      </w:r>
    </w:p>
    <w:p w14:paraId="53B3C15D" w14:textId="77777777" w:rsidR="00EC5C3A" w:rsidRPr="00EC5C3A" w:rsidRDefault="00EC5C3A" w:rsidP="00EC5C3A">
      <w:pPr>
        <w:autoSpaceDE w:val="0"/>
        <w:autoSpaceDN w:val="0"/>
        <w:adjustRightInd w:val="0"/>
        <w:spacing w:after="0"/>
        <w:rPr>
          <w:rFonts w:ascii="Arial" w:hAnsi="Arial" w:cs="Arial"/>
          <w:sz w:val="22"/>
          <w:szCs w:val="22"/>
        </w:rPr>
      </w:pPr>
      <w:r w:rsidRPr="00EC5C3A">
        <w:rPr>
          <w:rFonts w:ascii="Arial" w:hAnsi="Arial" w:cs="Arial"/>
          <w:sz w:val="22"/>
          <w:szCs w:val="22"/>
        </w:rPr>
        <w:t xml:space="preserve">In case the list comprises more than one entry, roaming agreements between the HPMN and the VPMNs are required. </w:t>
      </w:r>
    </w:p>
    <w:p w14:paraId="320DE068" w14:textId="77777777" w:rsidR="00CA6102" w:rsidRDefault="00EC5C3A" w:rsidP="00EC5C3A">
      <w:r w:rsidRPr="00EC5C3A">
        <w:rPr>
          <w:rFonts w:ascii="Arial" w:hAnsi="Arial" w:cs="Arial"/>
          <w:sz w:val="22"/>
          <w:szCs w:val="22"/>
        </w:rPr>
        <w:t>As a part of region specification, requirements for altitude can be provided. Altitude is needed for airborne devices communication where the devices can be from simple UEs or Uncrewed Aerial Systems (UAS) at lower aviation height and up to helicopters and small aeroplanes at higher aviation height. The values for the height may be impacted by the regional regulation and other aspects limiting the use of the full range of the indicated values in practice.</w:t>
      </w:r>
    </w:p>
    <w:p w14:paraId="5966C488" w14:textId="77777777" w:rsidR="00CA6102" w:rsidRDefault="007D7E41" w:rsidP="00FB24C6">
      <w:r>
        <w:t xml:space="preserve">3GPP </w:t>
      </w:r>
      <w:r w:rsidR="00CA6102">
        <w:t>TS 28.541: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5554"/>
        <w:gridCol w:w="2156"/>
      </w:tblGrid>
      <w:tr w:rsidR="00CA6102" w14:paraId="2F9AE6F4" w14:textId="77777777" w:rsidTr="00EC5C3A">
        <w:trPr>
          <w:cantSplit/>
          <w:tblHeader/>
          <w:jc w:val="center"/>
        </w:trPr>
        <w:tc>
          <w:tcPr>
            <w:tcW w:w="1755" w:type="dxa"/>
            <w:tcBorders>
              <w:top w:val="single" w:sz="4" w:space="0" w:color="auto"/>
              <w:left w:val="single" w:sz="4" w:space="0" w:color="auto"/>
              <w:bottom w:val="single" w:sz="4" w:space="0" w:color="auto"/>
              <w:right w:val="single" w:sz="4" w:space="0" w:color="auto"/>
            </w:tcBorders>
            <w:hideMark/>
          </w:tcPr>
          <w:p w14:paraId="568E6B93" w14:textId="77777777" w:rsidR="00CA6102" w:rsidRDefault="00CA6102" w:rsidP="00F535B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554" w:type="dxa"/>
            <w:tcBorders>
              <w:top w:val="single" w:sz="4" w:space="0" w:color="auto"/>
              <w:left w:val="single" w:sz="4" w:space="0" w:color="auto"/>
              <w:bottom w:val="single" w:sz="4" w:space="0" w:color="auto"/>
              <w:right w:val="single" w:sz="4" w:space="0" w:color="auto"/>
            </w:tcBorders>
            <w:hideMark/>
          </w:tcPr>
          <w:p w14:paraId="30C1BBE6" w14:textId="77777777" w:rsidR="00CA6102" w:rsidRDefault="00CA6102" w:rsidP="00F535B4">
            <w:pPr>
              <w:pStyle w:val="TAL"/>
              <w:rPr>
                <w:snapToGrid w:val="0"/>
              </w:rPr>
            </w:pPr>
            <w:r>
              <w:rPr>
                <w:snapToGrid w:val="0"/>
              </w:rPr>
              <w:t>An attribute specifies the coverage area of the network slice, i.e.</w:t>
            </w:r>
            <w:r>
              <w:rPr>
                <w:lang w:eastAsia="zh-CN"/>
              </w:rPr>
              <w:t xml:space="preserve"> the geographic region </w:t>
            </w:r>
            <w:r w:rsidRPr="00EC5C3A">
              <w:rPr>
                <w:b/>
                <w:bCs/>
                <w:lang w:eastAsia="zh-CN"/>
              </w:rPr>
              <w:t>where a 3GPP communication service is accessible</w:t>
            </w:r>
            <w:r>
              <w:rPr>
                <w:lang w:eastAsia="zh-CN"/>
              </w:rPr>
              <w:t>,</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5223B3"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type: String</w:t>
            </w:r>
          </w:p>
          <w:p w14:paraId="513045E5"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multiplicity: 1</w:t>
            </w:r>
          </w:p>
          <w:p w14:paraId="43F6410D"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isOrdered: N/A</w:t>
            </w:r>
          </w:p>
          <w:p w14:paraId="592A67E9"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isUnique: N/A</w:t>
            </w:r>
          </w:p>
          <w:p w14:paraId="4AE14DD4"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defaultValue: False</w:t>
            </w:r>
          </w:p>
          <w:p w14:paraId="4073A558"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isNullable: True</w:t>
            </w:r>
          </w:p>
        </w:tc>
      </w:tr>
      <w:tr w:rsidR="00CA6102" w14:paraId="16D9C410" w14:textId="77777777" w:rsidTr="00EC5C3A">
        <w:trPr>
          <w:cantSplit/>
          <w:tblHeader/>
          <w:jc w:val="center"/>
        </w:trPr>
        <w:tc>
          <w:tcPr>
            <w:tcW w:w="1755" w:type="dxa"/>
            <w:tcBorders>
              <w:top w:val="single" w:sz="4" w:space="0" w:color="auto"/>
              <w:left w:val="single" w:sz="4" w:space="0" w:color="auto"/>
              <w:bottom w:val="single" w:sz="4" w:space="0" w:color="auto"/>
              <w:right w:val="single" w:sz="4" w:space="0" w:color="auto"/>
            </w:tcBorders>
            <w:hideMark/>
          </w:tcPr>
          <w:p w14:paraId="649AEB24" w14:textId="77777777" w:rsidR="00CA6102" w:rsidRDefault="00CA6102" w:rsidP="00F535B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554" w:type="dxa"/>
            <w:tcBorders>
              <w:top w:val="single" w:sz="4" w:space="0" w:color="auto"/>
              <w:left w:val="single" w:sz="4" w:space="0" w:color="auto"/>
              <w:bottom w:val="single" w:sz="4" w:space="0" w:color="auto"/>
              <w:right w:val="single" w:sz="4" w:space="0" w:color="auto"/>
            </w:tcBorders>
            <w:hideMark/>
          </w:tcPr>
          <w:p w14:paraId="263BAF61" w14:textId="77777777" w:rsidR="00CA6102" w:rsidRPr="00CA6102" w:rsidRDefault="00CA6102" w:rsidP="00CA6102">
            <w:pPr>
              <w:pStyle w:val="TAL"/>
              <w:rPr>
                <w:snapToGrid w:val="0"/>
              </w:rPr>
            </w:pPr>
            <w:r w:rsidRPr="00CA6102">
              <w:rPr>
                <w:snapToGrid w:val="0"/>
              </w:rPr>
              <w:t>An attribute specifies a list of Tracking Areas for the network slice .</w:t>
            </w:r>
          </w:p>
          <w:p w14:paraId="5AC3D3E9" w14:textId="77777777" w:rsidR="00CA6102" w:rsidRPr="00CA6102" w:rsidRDefault="00CA6102" w:rsidP="00CA6102">
            <w:pPr>
              <w:pStyle w:val="TAL"/>
              <w:rPr>
                <w:snapToGrid w:val="0"/>
              </w:rPr>
            </w:pPr>
            <w:r w:rsidRPr="00CA6102">
              <w:rPr>
                <w:snapToGrid w:val="0"/>
              </w:rPr>
              <w:t>allowedValues:</w:t>
            </w:r>
          </w:p>
          <w:p w14:paraId="25A569E9" w14:textId="77777777" w:rsidR="00CA6102" w:rsidRPr="00CA6102" w:rsidRDefault="00CA6102" w:rsidP="00CA6102">
            <w:pPr>
              <w:pStyle w:val="TAL"/>
              <w:rPr>
                <w:snapToGrid w:val="0"/>
              </w:rPr>
            </w:pPr>
            <w:r w:rsidRPr="00CA6102">
              <w:rPr>
                <w:snapToGrid w:val="0"/>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5DCE86F"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type: Integer</w:t>
            </w:r>
          </w:p>
          <w:p w14:paraId="16CDCD88"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multiplicity: 1..*</w:t>
            </w:r>
          </w:p>
          <w:p w14:paraId="7052A0C3"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EE482F"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5409EA"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defaultValue: None</w:t>
            </w:r>
          </w:p>
          <w:p w14:paraId="4F0D43DA" w14:textId="77777777" w:rsidR="00CA6102" w:rsidRDefault="00CA6102" w:rsidP="00F535B4">
            <w:pPr>
              <w:spacing w:after="0"/>
              <w:rPr>
                <w:rFonts w:ascii="Arial" w:hAnsi="Arial" w:cs="Arial"/>
                <w:snapToGrid w:val="0"/>
                <w:sz w:val="18"/>
                <w:szCs w:val="18"/>
              </w:rPr>
            </w:pPr>
            <w:r>
              <w:rPr>
                <w:rFonts w:ascii="Arial" w:hAnsi="Arial" w:cs="Arial"/>
                <w:snapToGrid w:val="0"/>
                <w:sz w:val="18"/>
                <w:szCs w:val="18"/>
              </w:rPr>
              <w:t>allowedValues: N/A</w:t>
            </w:r>
          </w:p>
          <w:p w14:paraId="4AF0E6F9" w14:textId="77777777" w:rsidR="00CA6102" w:rsidRPr="00CA6102" w:rsidRDefault="00CA6102" w:rsidP="00CA6102">
            <w:pPr>
              <w:rPr>
                <w:rFonts w:ascii="Arial" w:hAnsi="Arial" w:cs="Arial"/>
                <w:snapToGrid w:val="0"/>
                <w:sz w:val="18"/>
                <w:szCs w:val="18"/>
              </w:rPr>
            </w:pPr>
            <w:r w:rsidRPr="00CA6102">
              <w:rPr>
                <w:rFonts w:ascii="Arial" w:hAnsi="Arial" w:cs="Arial"/>
                <w:snapToGrid w:val="0"/>
                <w:sz w:val="18"/>
                <w:szCs w:val="18"/>
              </w:rPr>
              <w:t>isNullable: False</w:t>
            </w:r>
          </w:p>
        </w:tc>
      </w:tr>
    </w:tbl>
    <w:p w14:paraId="3B4358FA" w14:textId="77777777" w:rsidR="00CA6102" w:rsidRPr="00FB24C6" w:rsidRDefault="00CA6102" w:rsidP="00FB24C6"/>
    <w:p w14:paraId="21B94D62" w14:textId="77777777" w:rsidR="00A32ADA" w:rsidRPr="00A32ADA" w:rsidRDefault="00A32ADA" w:rsidP="006B479A">
      <w:pPr>
        <w:rPr>
          <w:i/>
          <w:iCs/>
        </w:rPr>
      </w:pPr>
    </w:p>
    <w:p w14:paraId="5CDA64EB" w14:textId="6A01CA5B" w:rsidR="00EC5C3A" w:rsidRDefault="006B479A" w:rsidP="006B479A">
      <w:pPr>
        <w:rPr>
          <w:b/>
          <w:bCs/>
        </w:rPr>
      </w:pPr>
      <w:r w:rsidRPr="001F6E8E">
        <w:rPr>
          <w:b/>
          <w:bCs/>
        </w:rPr>
        <w:t>Observation</w:t>
      </w:r>
      <w:r w:rsidR="001F6E8E">
        <w:rPr>
          <w:b/>
          <w:bCs/>
        </w:rPr>
        <w:t xml:space="preserve"> </w:t>
      </w:r>
      <w:r w:rsidR="00EC5C3A">
        <w:rPr>
          <w:b/>
          <w:bCs/>
        </w:rPr>
        <w:t>1</w:t>
      </w:r>
      <w:r w:rsidRPr="001F6E8E">
        <w:rPr>
          <w:b/>
          <w:bCs/>
        </w:rPr>
        <w:t xml:space="preserve">: </w:t>
      </w:r>
      <w:r w:rsidR="00EC5C3A">
        <w:rPr>
          <w:b/>
          <w:bCs/>
        </w:rPr>
        <w:t>Both area of service (NG.116) and coverageArea (28.541) specifies an area where the service is accessible and the service will be provided</w:t>
      </w:r>
      <w:r w:rsidR="004679BF">
        <w:rPr>
          <w:b/>
          <w:bCs/>
        </w:rPr>
        <w:t xml:space="preserve">, but </w:t>
      </w:r>
      <w:r w:rsidR="00666463">
        <w:rPr>
          <w:b/>
          <w:bCs/>
        </w:rPr>
        <w:t xml:space="preserve">coverage area is defined with TA granularity while AoS is not restricted to </w:t>
      </w:r>
      <w:r w:rsidR="006D1EA5">
        <w:rPr>
          <w:b/>
          <w:bCs/>
        </w:rPr>
        <w:t>any area granularity</w:t>
      </w:r>
      <w:r w:rsidR="00EC5C3A">
        <w:rPr>
          <w:b/>
          <w:bCs/>
        </w:rPr>
        <w:t>.</w:t>
      </w:r>
    </w:p>
    <w:p w14:paraId="415E6DAD" w14:textId="77777777" w:rsidR="00EC5C3A" w:rsidRDefault="00EC5C3A" w:rsidP="006B479A">
      <w:pPr>
        <w:rPr>
          <w:b/>
          <w:bCs/>
        </w:rPr>
      </w:pPr>
    </w:p>
    <w:p w14:paraId="5EA26BAC" w14:textId="77777777" w:rsidR="00F25F1B" w:rsidRDefault="00F25F1B" w:rsidP="006B479A">
      <w:r>
        <w:t xml:space="preserve">As per the </w:t>
      </w:r>
      <w:r w:rsidR="00983409">
        <w:t>TR</w:t>
      </w:r>
      <w:r>
        <w:t xml:space="preserve"> </w:t>
      </w:r>
      <w:r w:rsidR="007D7E41">
        <w:t xml:space="preserve">23.700-41 </w:t>
      </w:r>
      <w:r>
        <w:t>we have the following</w:t>
      </w:r>
      <w:r w:rsidR="00983409">
        <w:t xml:space="preserve"> conclusion related to the area</w:t>
      </w:r>
      <w:r>
        <w:t>:</w:t>
      </w:r>
    </w:p>
    <w:p w14:paraId="18099FEC" w14:textId="77777777" w:rsidR="00F25F1B" w:rsidRPr="00983409" w:rsidRDefault="00983409" w:rsidP="006B479A">
      <w:pPr>
        <w:rPr>
          <w:i/>
          <w:iCs/>
        </w:rPr>
      </w:pPr>
      <w:r w:rsidRPr="00983409">
        <w:rPr>
          <w:i/>
          <w:iCs/>
        </w:rPr>
        <w:t>“</w:t>
      </w:r>
      <w:r w:rsidRPr="00983409">
        <w:rPr>
          <w:rFonts w:eastAsia="Malgun Gothic"/>
          <w:i/>
          <w:iCs/>
          <w:lang w:eastAsia="zh-CN"/>
        </w:rPr>
        <w:t xml:space="preserve">Reconfiguration of TAs while keeping the uniform support of S-NSSAIs in cells within the TA unchanged, but if an operator </w:t>
      </w:r>
      <w:r w:rsidRPr="00983409">
        <w:rPr>
          <w:i/>
          <w:iCs/>
          <w:lang w:eastAsia="zh-CN"/>
        </w:rPr>
        <w:t xml:space="preserve">do not want to change the TA borders, the operator </w:t>
      </w:r>
      <w:r w:rsidRPr="00983409">
        <w:rPr>
          <w:rFonts w:eastAsia="Malgun Gothic"/>
          <w:i/>
          <w:iCs/>
          <w:lang w:eastAsia="zh-CN"/>
        </w:rPr>
        <w:t>configures the cells of a TA that are outside AoS to have no or limited resources using existing NG-RAN OAM configuration.</w:t>
      </w:r>
      <w:r w:rsidRPr="00983409">
        <w:rPr>
          <w:i/>
          <w:iCs/>
        </w:rPr>
        <w:t>”</w:t>
      </w:r>
    </w:p>
    <w:p w14:paraId="4448CC91" w14:textId="77777777" w:rsidR="00983409" w:rsidRDefault="001414F3" w:rsidP="001F6E8E">
      <w:pPr>
        <w:rPr>
          <w:noProof/>
        </w:rPr>
      </w:pPr>
      <w:r>
        <w:rPr>
          <w:noProof/>
        </w:rPr>
        <w:t>The benefit of allocating some/limited resources to some cells outside the AoS can e.g. be to avoid the UE fully losing UP of PDU Sessions of the slice when the UE exits shortly the AoS.</w:t>
      </w:r>
    </w:p>
    <w:p w14:paraId="37DCBA7B" w14:textId="77777777" w:rsidR="001414F3" w:rsidRDefault="001414F3" w:rsidP="001F6E8E">
      <w:pPr>
        <w:rPr>
          <w:noProof/>
        </w:rPr>
      </w:pPr>
      <w:r w:rsidRPr="001F6E8E">
        <w:rPr>
          <w:b/>
          <w:bCs/>
        </w:rPr>
        <w:t>Observation</w:t>
      </w:r>
      <w:r>
        <w:rPr>
          <w:b/>
          <w:bCs/>
        </w:rPr>
        <w:t xml:space="preserve"> 2</w:t>
      </w:r>
      <w:r w:rsidRPr="001F6E8E">
        <w:rPr>
          <w:b/>
          <w:bCs/>
        </w:rPr>
        <w:t xml:space="preserve">: </w:t>
      </w:r>
      <w:r>
        <w:rPr>
          <w:b/>
          <w:bCs/>
        </w:rPr>
        <w:t>The cells outside the AoS can be allocated some resources.</w:t>
      </w:r>
    </w:p>
    <w:p w14:paraId="29EAD86D" w14:textId="77777777" w:rsidR="000436EC" w:rsidRDefault="000436EC" w:rsidP="000436EC">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17D9BF9" w14:textId="77777777" w:rsidR="000436EC" w:rsidRDefault="004B0290" w:rsidP="000436EC">
      <w:pPr>
        <w:pStyle w:val="paragraph"/>
        <w:spacing w:before="0" w:beforeAutospacing="0" w:after="0" w:afterAutospacing="0"/>
        <w:textAlignment w:val="baseline"/>
        <w:rPr>
          <w:rFonts w:ascii="Segoe UI" w:hAnsi="Segoe UI" w:cs="Segoe UI"/>
          <w:sz w:val="18"/>
          <w:szCs w:val="18"/>
        </w:rPr>
      </w:pPr>
      <w:r>
        <w:rPr>
          <w:rFonts w:eastAsia="SimSun"/>
          <w:sz w:val="20"/>
          <w:szCs w:val="20"/>
          <w:lang w:val="en-GB"/>
        </w:rPr>
        <w:pict w14:anchorId="22D75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19.2pt">
            <v:imagedata r:id="rId10" o:title="20167644"/>
          </v:shape>
        </w:pict>
      </w:r>
      <w:r w:rsidR="000436EC">
        <w:rPr>
          <w:rStyle w:val="eop"/>
          <w:sz w:val="20"/>
          <w:szCs w:val="20"/>
        </w:rPr>
        <w:t> </w:t>
      </w:r>
    </w:p>
    <w:p w14:paraId="3AD57926" w14:textId="77777777" w:rsidR="000436EC" w:rsidRPr="00F26EC6" w:rsidRDefault="000436EC" w:rsidP="000436EC">
      <w:pPr>
        <w:pStyle w:val="paragraph"/>
        <w:spacing w:before="0" w:beforeAutospacing="0" w:after="0" w:afterAutospacing="0"/>
        <w:jc w:val="center"/>
        <w:textAlignment w:val="baseline"/>
        <w:rPr>
          <w:rFonts w:ascii="Segoe UI" w:hAnsi="Segoe UI" w:cs="Segoe UI"/>
          <w:b/>
          <w:bCs/>
          <w:sz w:val="18"/>
          <w:szCs w:val="18"/>
        </w:rPr>
      </w:pPr>
      <w:r w:rsidRPr="00F71FB3">
        <w:rPr>
          <w:rStyle w:val="normaltextrun"/>
          <w:rFonts w:ascii="Arial" w:hAnsi="Arial" w:cs="Arial"/>
          <w:b/>
          <w:bCs/>
          <w:sz w:val="20"/>
          <w:szCs w:val="20"/>
          <w:u w:val="single"/>
          <w:lang w:val="en-GB"/>
        </w:rPr>
        <w:t>Figure 1: An example TA.   Dashed cells: AoS for factory slice. (Micro cells at separate freq.)</w:t>
      </w:r>
      <w:r w:rsidRPr="00F26EC6">
        <w:rPr>
          <w:rStyle w:val="eop"/>
          <w:rFonts w:ascii="Arial" w:hAnsi="Arial" w:cs="Arial"/>
          <w:b/>
          <w:bCs/>
          <w:sz w:val="20"/>
          <w:szCs w:val="20"/>
        </w:rPr>
        <w:t> </w:t>
      </w:r>
    </w:p>
    <w:p w14:paraId="0ABEC2B2" w14:textId="77777777" w:rsidR="002368CF" w:rsidRDefault="002368CF" w:rsidP="000436EC">
      <w:pPr>
        <w:pStyle w:val="paragraph"/>
        <w:spacing w:before="0" w:beforeAutospacing="0" w:after="0" w:afterAutospacing="0"/>
        <w:textAlignment w:val="baseline"/>
        <w:rPr>
          <w:rStyle w:val="normaltextrun"/>
          <w:color w:val="D13438"/>
          <w:sz w:val="20"/>
          <w:szCs w:val="20"/>
          <w:u w:val="single"/>
          <w:lang w:val="en-GB"/>
        </w:rPr>
      </w:pPr>
    </w:p>
    <w:p w14:paraId="46EC8A8D" w14:textId="1DB03E10" w:rsidR="00983409" w:rsidRDefault="00983409" w:rsidP="001F6E8E">
      <w:r>
        <w:t>In the example in Figure 1, the operator ha</w:t>
      </w:r>
      <w:r w:rsidR="00736D17">
        <w:t>s</w:t>
      </w:r>
      <w:r>
        <w:t xml:space="preserve"> a requirement to </w:t>
      </w:r>
      <w:r w:rsidR="00BF721A">
        <w:t>fulfil</w:t>
      </w:r>
      <w:r>
        <w:t xml:space="preserve"> the services for an </w:t>
      </w:r>
      <w:r w:rsidR="00E80AED">
        <w:t>factory</w:t>
      </w:r>
      <w:r>
        <w:t xml:space="preserve"> </w:t>
      </w:r>
      <w:r w:rsidR="00E80AED">
        <w:t>in the coverage area of the dashed micro cells</w:t>
      </w:r>
      <w:r>
        <w:t xml:space="preserve">, e.g. </w:t>
      </w:r>
      <w:r w:rsidR="00E80AED">
        <w:t>the microcells</w:t>
      </w:r>
      <w:r>
        <w:t xml:space="preserve"> corresponds to where operator have fully allocated resources to all the cells to </w:t>
      </w:r>
      <w:r w:rsidR="00BF721A">
        <w:t>fulfil</w:t>
      </w:r>
      <w:r>
        <w:t xml:space="preserve"> the </w:t>
      </w:r>
      <w:r w:rsidR="00BF721A">
        <w:t>requirements</w:t>
      </w:r>
      <w:r>
        <w:t xml:space="preserve"> for the network slice.</w:t>
      </w:r>
      <w:r w:rsidR="00E80AED">
        <w:t xml:space="preserve"> This corresponds to the Area of Service</w:t>
      </w:r>
      <w:r w:rsidR="000A119A">
        <w:t>, and this is where the KPI’s of the slice will be met.</w:t>
      </w:r>
    </w:p>
    <w:p w14:paraId="7B8C205B" w14:textId="5EF48E96" w:rsidR="00D949D7" w:rsidRDefault="00D949D7" w:rsidP="001F6E8E">
      <w:r>
        <w:t>In this example,</w:t>
      </w:r>
      <w:r w:rsidR="00736D17">
        <w:t xml:space="preserve"> there is a coverage hole that is not covered by the micro cells. </w:t>
      </w:r>
      <w:r>
        <w:t>How the operator treats that hole, depends on policy</w:t>
      </w:r>
      <w:r w:rsidR="00EE3F1D">
        <w:t>, KPIs</w:t>
      </w:r>
      <w:r>
        <w:t xml:space="preserve"> and charging model.</w:t>
      </w:r>
    </w:p>
    <w:p w14:paraId="49C23ACB" w14:textId="23454F8F" w:rsidR="001D42EE" w:rsidRDefault="00D949D7" w:rsidP="001F6E8E">
      <w:r>
        <w:t>In this example, the factory owner is only paying for the provided micro cells.</w:t>
      </w:r>
      <w:r w:rsidR="00736D17">
        <w:t xml:space="preserve"> </w:t>
      </w:r>
      <w:r w:rsidR="00E80AED">
        <w:t xml:space="preserve">For the operator it </w:t>
      </w:r>
      <w:r w:rsidR="00537EB6">
        <w:t>may be</w:t>
      </w:r>
      <w:r w:rsidR="00E80AED">
        <w:t xml:space="preserve"> important that the </w:t>
      </w:r>
      <w:r w:rsidR="00736D17">
        <w:t xml:space="preserve">user will notice degradation </w:t>
      </w:r>
      <w:r w:rsidR="001D42EE">
        <w:t>outside the AoS</w:t>
      </w:r>
      <w:r w:rsidR="00736D17">
        <w:t xml:space="preserve">, since the factory owner </w:t>
      </w:r>
      <w:r w:rsidR="00A92F28">
        <w:t xml:space="preserve">does not </w:t>
      </w:r>
      <w:r w:rsidR="00736D17">
        <w:t xml:space="preserve">pay for another microcell covering the hole and extending the AoS to cover the whole </w:t>
      </w:r>
      <w:r w:rsidR="00E83F59">
        <w:t>enterprise area</w:t>
      </w:r>
      <w:r w:rsidR="00736D17">
        <w:t>.</w:t>
      </w:r>
    </w:p>
    <w:p w14:paraId="3B5661C7" w14:textId="474FDE1D" w:rsidR="00736D17" w:rsidRDefault="00736D17" w:rsidP="001F6E8E">
      <w:r>
        <w:t xml:space="preserve">However, if there are many UEs </w:t>
      </w:r>
      <w:r w:rsidR="001D42EE">
        <w:t>passing</w:t>
      </w:r>
      <w:r>
        <w:t xml:space="preserve"> in and out of the hole, and the UP is taken down every time, this will correspond to excessive signalling. For legacy UEs </w:t>
      </w:r>
      <w:r w:rsidR="008469D3">
        <w:t xml:space="preserve">possible </w:t>
      </w:r>
      <w:r>
        <w:t xml:space="preserve">also the PDU session would be taken down, and the slice </w:t>
      </w:r>
      <w:r w:rsidR="008469D3">
        <w:t>removed from the Allowed NSSAI</w:t>
      </w:r>
      <w:r w:rsidR="00AF0703">
        <w:t xml:space="preserve"> </w:t>
      </w:r>
      <w:r w:rsidR="009A19A6">
        <w:t xml:space="preserve">and added to the </w:t>
      </w:r>
      <w:r w:rsidR="006F111B">
        <w:t>Rejected NSSAI</w:t>
      </w:r>
      <w:r>
        <w:t xml:space="preserve"> </w:t>
      </w:r>
      <w:r w:rsidR="009B3277">
        <w:t xml:space="preserve">(or even </w:t>
      </w:r>
      <w:r w:rsidR="009B3277">
        <w:lastRenderedPageBreak/>
        <w:t>removed from the C</w:t>
      </w:r>
      <w:r w:rsidR="00AD088C">
        <w:t xml:space="preserve">onfigured NSSAI), </w:t>
      </w:r>
      <w:r>
        <w:t xml:space="preserve">every time the UE enters the </w:t>
      </w:r>
      <w:r w:rsidR="008469D3">
        <w:t xml:space="preserve">coverage hole and is served by the </w:t>
      </w:r>
      <w:r w:rsidR="00CA76D2">
        <w:t>macro cell</w:t>
      </w:r>
      <w:r>
        <w:t>, so th</w:t>
      </w:r>
      <w:r w:rsidR="008469D3">
        <w:t>at would cause</w:t>
      </w:r>
      <w:r>
        <w:t xml:space="preserve"> is even more signalling.</w:t>
      </w:r>
    </w:p>
    <w:p w14:paraId="7BF1D593" w14:textId="5E08E077" w:rsidR="001D42EE" w:rsidRDefault="001D42EE" w:rsidP="001F6E8E">
      <w:r>
        <w:t xml:space="preserve">The middle macro cell is therefore configured with a small amount of resources for the slice. The resources are sufficient to keep the UP, but QoS requirements will not be fulfilled, and any GBR flows </w:t>
      </w:r>
      <w:r w:rsidR="00E0156A">
        <w:t xml:space="preserve">may </w:t>
      </w:r>
      <w:r>
        <w:t>be closed.</w:t>
      </w:r>
    </w:p>
    <w:p w14:paraId="6C76BD2E" w14:textId="7C7670EC" w:rsidR="00CA76D2" w:rsidRDefault="001D42EE" w:rsidP="001F6E8E">
      <w:r>
        <w:t xml:space="preserve">The other macro cells are configured with no resources for the slice, and </w:t>
      </w:r>
      <w:r w:rsidR="000A119A">
        <w:t xml:space="preserve">there will be no UP for PDU sessions on the slice. </w:t>
      </w:r>
    </w:p>
    <w:p w14:paraId="22447437" w14:textId="66D6FFC6" w:rsidR="00D949D7" w:rsidRDefault="00D949D7" w:rsidP="00D949D7">
      <w:r>
        <w:t xml:space="preserve">Another possible policy could be that </w:t>
      </w:r>
      <w:r w:rsidR="00CA76D2">
        <w:t xml:space="preserve">the UEs on the slice also may have access to the slice services in the middle macro cell, in case there is capacity left. In that case, the slice would be configured to have access to shared resources in the middle macro cell, with low priority, so that the UE may be served with acceptable QoS at low load. Also in this case, it is not required that the KPI’s are fulfilled while outside the AoS.  </w:t>
      </w:r>
    </w:p>
    <w:p w14:paraId="372B280A" w14:textId="7D009D34" w:rsidR="000A119A" w:rsidRDefault="000A119A" w:rsidP="001F6E8E">
      <w:r w:rsidRPr="000A119A">
        <w:rPr>
          <w:b/>
          <w:bCs/>
        </w:rPr>
        <w:t>Observation</w:t>
      </w:r>
      <w:r w:rsidR="007E43DC">
        <w:rPr>
          <w:b/>
          <w:bCs/>
        </w:rPr>
        <w:t xml:space="preserve"> 3</w:t>
      </w:r>
      <w:r w:rsidRPr="000A119A">
        <w:rPr>
          <w:b/>
          <w:bCs/>
        </w:rPr>
        <w:t>:</w:t>
      </w:r>
      <w:r>
        <w:t xml:space="preserve"> </w:t>
      </w:r>
      <w:r w:rsidRPr="00315655">
        <w:rPr>
          <w:b/>
          <w:bCs/>
        </w:rPr>
        <w:t>There are scenarios where the operator may want to allocate more than 0 resources for a slice in some cells outside the AoS.</w:t>
      </w:r>
    </w:p>
    <w:p w14:paraId="2E5D36D9" w14:textId="0BB254B8" w:rsidR="00BF721A" w:rsidRPr="00983409" w:rsidRDefault="00BF721A" w:rsidP="001F6E8E">
      <w:r w:rsidRPr="001F6E8E">
        <w:rPr>
          <w:b/>
          <w:bCs/>
        </w:rPr>
        <w:t>Observation</w:t>
      </w:r>
      <w:r>
        <w:rPr>
          <w:b/>
          <w:bCs/>
        </w:rPr>
        <w:t xml:space="preserve"> </w:t>
      </w:r>
      <w:r w:rsidR="007E43DC">
        <w:rPr>
          <w:b/>
          <w:bCs/>
        </w:rPr>
        <w:t>4</w:t>
      </w:r>
      <w:r w:rsidRPr="001F6E8E">
        <w:rPr>
          <w:b/>
          <w:bCs/>
        </w:rPr>
        <w:t xml:space="preserve">: </w:t>
      </w:r>
      <w:r>
        <w:rPr>
          <w:b/>
          <w:bCs/>
        </w:rPr>
        <w:t xml:space="preserve">If an area </w:t>
      </w:r>
      <w:r w:rsidR="00E22EE8">
        <w:rPr>
          <w:b/>
          <w:bCs/>
        </w:rPr>
        <w:t>where</w:t>
      </w:r>
      <w:r>
        <w:rPr>
          <w:b/>
          <w:bCs/>
        </w:rPr>
        <w:t xml:space="preserve"> cells allocated more than zero resources but not enough for meeting the KPI</w:t>
      </w:r>
      <w:r w:rsidR="00E22EE8">
        <w:rPr>
          <w:b/>
          <w:bCs/>
        </w:rPr>
        <w:t>s</w:t>
      </w:r>
      <w:r>
        <w:rPr>
          <w:b/>
          <w:bCs/>
        </w:rPr>
        <w:t xml:space="preserve"> of the network slice is used, it is not obvious whether that area </w:t>
      </w:r>
      <w:r w:rsidR="001414F3">
        <w:rPr>
          <w:b/>
          <w:bCs/>
        </w:rPr>
        <w:t xml:space="preserve">needs to be captured separately in GSMA and SA5 specs as it is likely not to be part </w:t>
      </w:r>
      <w:r>
        <w:rPr>
          <w:b/>
          <w:bCs/>
        </w:rPr>
        <w:t>of the AoS.</w:t>
      </w:r>
    </w:p>
    <w:p w14:paraId="490DF9D3" w14:textId="4D41D633" w:rsidR="00FB24C6" w:rsidRDefault="00FB24C6" w:rsidP="001F6E8E">
      <w:pPr>
        <w:rPr>
          <w:b/>
          <w:bCs/>
        </w:rPr>
      </w:pPr>
      <w:r w:rsidRPr="00FB24C6">
        <w:rPr>
          <w:b/>
          <w:bCs/>
        </w:rPr>
        <w:t xml:space="preserve">Proposal 1: </w:t>
      </w:r>
      <w:r w:rsidR="00E41EBC">
        <w:rPr>
          <w:b/>
          <w:bCs/>
        </w:rPr>
        <w:t>AoS is used to describe the area where the KPI’s of the slice are required to be fulfilled.</w:t>
      </w:r>
      <w:r w:rsidRPr="00FB24C6">
        <w:rPr>
          <w:b/>
          <w:bCs/>
        </w:rPr>
        <w:t xml:space="preserve"> </w:t>
      </w:r>
    </w:p>
    <w:p w14:paraId="2480B18A" w14:textId="29DDF617" w:rsidR="006B479A" w:rsidRDefault="00E754A8" w:rsidP="006B479A">
      <w:r>
        <w:t xml:space="preserve">It is obvious that there is a need to </w:t>
      </w:r>
      <w:r w:rsidR="00E22EE8">
        <w:t xml:space="preserve">monitor KPIs for the </w:t>
      </w:r>
      <w:r>
        <w:t xml:space="preserve">network </w:t>
      </w:r>
      <w:r w:rsidR="00E22EE8">
        <w:t xml:space="preserve">slice according to the area where the customer defined </w:t>
      </w:r>
      <w:r>
        <w:t>its</w:t>
      </w:r>
      <w:r w:rsidR="00E22EE8">
        <w:t xml:space="preserve"> </w:t>
      </w:r>
      <w:r>
        <w:t>requirements and that would corresp</w:t>
      </w:r>
      <w:r w:rsidR="00EE6D5E">
        <w:t>o</w:t>
      </w:r>
      <w:r>
        <w:t xml:space="preserve">nd to the </w:t>
      </w:r>
      <w:r w:rsidR="00E0156A">
        <w:t xml:space="preserve">dashed </w:t>
      </w:r>
      <w:r w:rsidR="0062015A">
        <w:t>microcells</w:t>
      </w:r>
      <w:r>
        <w:t xml:space="preserve"> in the figure 1.</w:t>
      </w:r>
    </w:p>
    <w:p w14:paraId="7827B546" w14:textId="59774AF0" w:rsidR="00E754A8" w:rsidRDefault="00E754A8" w:rsidP="006B479A">
      <w:r>
        <w:t xml:space="preserve">Proposals been submitted at </w:t>
      </w:r>
      <w:r w:rsidR="00E0156A">
        <w:t>multiple previous SA2 meetings</w:t>
      </w:r>
      <w:r>
        <w:t xml:space="preserve"> where the SMF subscribes to the AoI corresponding to the </w:t>
      </w:r>
      <w:r w:rsidR="0062015A">
        <w:t>AoS</w:t>
      </w:r>
      <w:r>
        <w:t xml:space="preserve"> and indicates in the reports to CHF whether the UE is in or out of that area.</w:t>
      </w:r>
      <w:r w:rsidR="00542BA7">
        <w:t xml:space="preserve"> Such info will enable the operator to monitor whether KPIs related to user data are met.</w:t>
      </w:r>
      <w:r w:rsidR="00EE6D5E">
        <w:t xml:space="preserve"> </w:t>
      </w:r>
      <w:r w:rsidR="003103D3" w:rsidDel="003103D3">
        <w:t xml:space="preserve"> </w:t>
      </w:r>
    </w:p>
    <w:p w14:paraId="26623CD6" w14:textId="27903A53" w:rsidR="00E754A8" w:rsidRDefault="00E754A8" w:rsidP="006B479A">
      <w:pPr>
        <w:rPr>
          <w:b/>
          <w:bCs/>
        </w:rPr>
      </w:pPr>
      <w:r w:rsidRPr="00FB24C6">
        <w:rPr>
          <w:b/>
          <w:bCs/>
        </w:rPr>
        <w:t xml:space="preserve">Proposal </w:t>
      </w:r>
      <w:r>
        <w:rPr>
          <w:b/>
          <w:bCs/>
        </w:rPr>
        <w:t>2</w:t>
      </w:r>
      <w:r w:rsidRPr="00FB24C6">
        <w:rPr>
          <w:b/>
          <w:bCs/>
        </w:rPr>
        <w:t xml:space="preserve">: </w:t>
      </w:r>
      <w:r>
        <w:rPr>
          <w:b/>
          <w:bCs/>
        </w:rPr>
        <w:t xml:space="preserve">Define that SMF reports to CHF whether the UE is in or out of the area where the network slice is to fulfil the KPI requirements. </w:t>
      </w:r>
    </w:p>
    <w:p w14:paraId="21C4A1B4" w14:textId="77777777" w:rsidR="00BA17F6" w:rsidRDefault="00BA17F6" w:rsidP="0062015A">
      <w:r w:rsidRPr="00E41EBC">
        <w:t xml:space="preserve">If there is a need for a term defining where </w:t>
      </w:r>
      <w:r>
        <w:t xml:space="preserve">more than zero resources is allocated for </w:t>
      </w:r>
      <w:r w:rsidRPr="00E41EBC">
        <w:t xml:space="preserve">a slice, another term than AoS </w:t>
      </w:r>
      <w:r>
        <w:t>should be used</w:t>
      </w:r>
      <w:r w:rsidRPr="00E41EBC">
        <w:t xml:space="preserve"> until SA2 work is stable and seek feedback from GSMA and SA5 on the mapping to their terminologies and whether extensions are needed.</w:t>
      </w:r>
      <w:r>
        <w:t xml:space="preserve"> One way can be to use Slice Area of Availability (SaoA) for the coverage area of cells that have non-zero resources allocated for the slice. </w:t>
      </w:r>
    </w:p>
    <w:p w14:paraId="2DABE9CA" w14:textId="77777777" w:rsidR="008F4EDF" w:rsidRDefault="008F4EDF" w:rsidP="008F4EDF">
      <w:pPr>
        <w:pStyle w:val="Heading1"/>
      </w:pPr>
      <w:r>
        <w:t>Proposal</w:t>
      </w:r>
    </w:p>
    <w:bookmarkEnd w:id="0"/>
    <w:bookmarkEnd w:id="1"/>
    <w:p w14:paraId="0112A898" w14:textId="77777777" w:rsidR="003A639B" w:rsidRDefault="003A639B" w:rsidP="003A639B">
      <w:pPr>
        <w:rPr>
          <w:b/>
          <w:bCs/>
        </w:rPr>
      </w:pPr>
      <w:r w:rsidRPr="001F6E8E">
        <w:rPr>
          <w:b/>
          <w:bCs/>
        </w:rPr>
        <w:t>Observation</w:t>
      </w:r>
      <w:r>
        <w:rPr>
          <w:b/>
          <w:bCs/>
        </w:rPr>
        <w:t xml:space="preserve"> 1</w:t>
      </w:r>
      <w:r w:rsidRPr="001F6E8E">
        <w:rPr>
          <w:b/>
          <w:bCs/>
        </w:rPr>
        <w:t xml:space="preserve">: </w:t>
      </w:r>
      <w:r>
        <w:rPr>
          <w:b/>
          <w:bCs/>
        </w:rPr>
        <w:t>Both area of service (NG.116) and coverageArea (28.541) specifies an area where the service is accessible and the service will be provided, but coverage area is defined with TA granularity while AoS is not restricted to any area granularity.</w:t>
      </w:r>
    </w:p>
    <w:p w14:paraId="0E34DFBE" w14:textId="77777777" w:rsidR="003A639B" w:rsidRDefault="003A639B" w:rsidP="003A639B">
      <w:pPr>
        <w:rPr>
          <w:noProof/>
        </w:rPr>
      </w:pPr>
      <w:r w:rsidRPr="001F6E8E">
        <w:rPr>
          <w:b/>
          <w:bCs/>
        </w:rPr>
        <w:t>Observation</w:t>
      </w:r>
      <w:r>
        <w:rPr>
          <w:b/>
          <w:bCs/>
        </w:rPr>
        <w:t xml:space="preserve"> 2</w:t>
      </w:r>
      <w:r w:rsidRPr="001F6E8E">
        <w:rPr>
          <w:b/>
          <w:bCs/>
        </w:rPr>
        <w:t xml:space="preserve">: </w:t>
      </w:r>
      <w:r>
        <w:rPr>
          <w:b/>
          <w:bCs/>
        </w:rPr>
        <w:t>The cells outside the AoS can be allocated some resources.</w:t>
      </w:r>
    </w:p>
    <w:p w14:paraId="091C80EB" w14:textId="77777777" w:rsidR="007E43DC" w:rsidRPr="00315655" w:rsidRDefault="007E43DC" w:rsidP="007E43DC">
      <w:pPr>
        <w:rPr>
          <w:b/>
          <w:bCs/>
        </w:rPr>
      </w:pPr>
      <w:r w:rsidRPr="00D15A0B">
        <w:rPr>
          <w:b/>
          <w:bCs/>
        </w:rPr>
        <w:t>Observation 3:</w:t>
      </w:r>
      <w:r w:rsidRPr="00315655">
        <w:rPr>
          <w:b/>
          <w:bCs/>
        </w:rPr>
        <w:t xml:space="preserve"> There are scenarios where the operator may want to allocate more than 0 resources for a slice in some cells outside the AoS.</w:t>
      </w:r>
    </w:p>
    <w:p w14:paraId="5E84007C" w14:textId="77777777" w:rsidR="007E43DC" w:rsidRPr="00983409" w:rsidRDefault="007E43DC" w:rsidP="007E43DC">
      <w:r w:rsidRPr="001F6E8E">
        <w:rPr>
          <w:b/>
          <w:bCs/>
        </w:rPr>
        <w:t>Observation</w:t>
      </w:r>
      <w:r>
        <w:rPr>
          <w:b/>
          <w:bCs/>
        </w:rPr>
        <w:t xml:space="preserve"> 4</w:t>
      </w:r>
      <w:r w:rsidRPr="001F6E8E">
        <w:rPr>
          <w:b/>
          <w:bCs/>
        </w:rPr>
        <w:t xml:space="preserve">: </w:t>
      </w:r>
      <w:r>
        <w:rPr>
          <w:b/>
          <w:bCs/>
        </w:rPr>
        <w:t>If an area where cells allocated more than zero resources but not enough for meeting the KPIs of the network slice is used, it is not obvious whether that area needs to be captured separately in GSMA and SA5 specs as it is likely not to be part of the AoS.</w:t>
      </w:r>
    </w:p>
    <w:p w14:paraId="7D757A98" w14:textId="147F65B9" w:rsidR="001832EB" w:rsidRDefault="007E43DC" w:rsidP="008F4EDF">
      <w:pPr>
        <w:rPr>
          <w:b/>
          <w:bCs/>
        </w:rPr>
      </w:pPr>
      <w:r w:rsidRPr="00FB24C6">
        <w:rPr>
          <w:b/>
          <w:bCs/>
        </w:rPr>
        <w:t xml:space="preserve">Proposal 1: </w:t>
      </w:r>
      <w:r>
        <w:rPr>
          <w:b/>
          <w:bCs/>
        </w:rPr>
        <w:t>AoS is used to describe the area where the KPI’s of the slice are required to be fulfilled.</w:t>
      </w:r>
    </w:p>
    <w:p w14:paraId="0D54C462" w14:textId="192A0BBB" w:rsidR="007E43DC" w:rsidRPr="00AE0793" w:rsidRDefault="007E43DC" w:rsidP="008F4EDF">
      <w:pPr>
        <w:rPr>
          <w:rFonts w:ascii="Arial" w:hAnsi="Arial" w:cs="Arial"/>
        </w:rPr>
      </w:pPr>
      <w:r w:rsidRPr="00FB24C6">
        <w:rPr>
          <w:b/>
          <w:bCs/>
        </w:rPr>
        <w:t xml:space="preserve">Proposal </w:t>
      </w:r>
      <w:r>
        <w:rPr>
          <w:b/>
          <w:bCs/>
        </w:rPr>
        <w:t>2</w:t>
      </w:r>
      <w:r w:rsidRPr="00FB24C6">
        <w:rPr>
          <w:b/>
          <w:bCs/>
        </w:rPr>
        <w:t xml:space="preserve">: </w:t>
      </w:r>
      <w:r>
        <w:rPr>
          <w:b/>
          <w:bCs/>
        </w:rPr>
        <w:t>Define that SMF reports to CHF whether the UE is in or out of the area where the network slice is to fulfil the KPI requirements</w:t>
      </w:r>
      <w:r w:rsidR="00D15A0B">
        <w:rPr>
          <w:b/>
          <w:bCs/>
        </w:rPr>
        <w:t>.</w:t>
      </w:r>
    </w:p>
    <w:sectPr w:rsidR="007E43DC"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ADA" w14:textId="77777777" w:rsidR="0083527F" w:rsidRDefault="0083527F">
      <w:r>
        <w:separator/>
      </w:r>
    </w:p>
  </w:endnote>
  <w:endnote w:type="continuationSeparator" w:id="0">
    <w:p w14:paraId="26E79144" w14:textId="77777777" w:rsidR="0083527F" w:rsidRDefault="0083527F">
      <w:r>
        <w:continuationSeparator/>
      </w:r>
    </w:p>
  </w:endnote>
  <w:endnote w:type="continuationNotice" w:id="1">
    <w:p w14:paraId="0EB4C2DA" w14:textId="77777777" w:rsidR="0083527F" w:rsidRDefault="00835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868E" w14:textId="77777777" w:rsidR="0083527F" w:rsidRDefault="0083527F">
      <w:r>
        <w:separator/>
      </w:r>
    </w:p>
  </w:footnote>
  <w:footnote w:type="continuationSeparator" w:id="0">
    <w:p w14:paraId="627B11AD" w14:textId="77777777" w:rsidR="0083527F" w:rsidRDefault="0083527F">
      <w:r>
        <w:continuationSeparator/>
      </w:r>
    </w:p>
  </w:footnote>
  <w:footnote w:type="continuationNotice" w:id="1">
    <w:p w14:paraId="1949BC08" w14:textId="77777777" w:rsidR="0083527F" w:rsidRDefault="00835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2"/>
  </w:num>
  <w:num w:numId="9" w16cid:durableId="234358386">
    <w:abstractNumId w:val="13"/>
  </w:num>
  <w:num w:numId="10" w16cid:durableId="1812167320">
    <w:abstractNumId w:val="20"/>
  </w:num>
  <w:num w:numId="11" w16cid:durableId="1717461071">
    <w:abstractNumId w:val="24"/>
  </w:num>
  <w:num w:numId="12" w16cid:durableId="178811979">
    <w:abstractNumId w:val="6"/>
  </w:num>
  <w:num w:numId="13" w16cid:durableId="728504545">
    <w:abstractNumId w:val="7"/>
  </w:num>
  <w:num w:numId="14" w16cid:durableId="946545547">
    <w:abstractNumId w:val="19"/>
  </w:num>
  <w:num w:numId="15" w16cid:durableId="1357148221">
    <w:abstractNumId w:val="8"/>
  </w:num>
  <w:num w:numId="16" w16cid:durableId="370032516">
    <w:abstractNumId w:val="26"/>
  </w:num>
  <w:num w:numId="17" w16cid:durableId="1714385583">
    <w:abstractNumId w:val="15"/>
  </w:num>
  <w:num w:numId="18" w16cid:durableId="2127773530">
    <w:abstractNumId w:val="23"/>
  </w:num>
  <w:num w:numId="19" w16cid:durableId="807094896">
    <w:abstractNumId w:val="17"/>
  </w:num>
  <w:num w:numId="20" w16cid:durableId="1939824949">
    <w:abstractNumId w:val="21"/>
  </w:num>
  <w:num w:numId="21" w16cid:durableId="1789352353">
    <w:abstractNumId w:val="18"/>
  </w:num>
  <w:num w:numId="22" w16cid:durableId="834341894">
    <w:abstractNumId w:val="4"/>
  </w:num>
  <w:num w:numId="23" w16cid:durableId="2033336592">
    <w:abstractNumId w:val="25"/>
  </w:num>
  <w:num w:numId="24" w16cid:durableId="1096024781">
    <w:abstractNumId w:val="10"/>
  </w:num>
  <w:num w:numId="25" w16cid:durableId="517279964">
    <w:abstractNumId w:val="16"/>
  </w:num>
  <w:num w:numId="26" w16cid:durableId="1878350147">
    <w:abstractNumId w:val="9"/>
  </w:num>
  <w:num w:numId="27" w16cid:durableId="987393225">
    <w:abstractNumId w:val="12"/>
  </w:num>
  <w:num w:numId="28" w16cid:durableId="839925311">
    <w:abstractNumId w:val="14"/>
  </w:num>
  <w:num w:numId="29" w16cid:durableId="883297265">
    <w:abstractNumId w:val="11"/>
  </w:num>
  <w:num w:numId="30" w16cid:durableId="127868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119A"/>
    <w:rsid w:val="000A501D"/>
    <w:rsid w:val="000B04C9"/>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17E1"/>
    <w:rsid w:val="0013278B"/>
    <w:rsid w:val="001332ED"/>
    <w:rsid w:val="00133F57"/>
    <w:rsid w:val="00134A5C"/>
    <w:rsid w:val="0014134D"/>
    <w:rsid w:val="001414F3"/>
    <w:rsid w:val="00141BDC"/>
    <w:rsid w:val="0014262E"/>
    <w:rsid w:val="00147FAE"/>
    <w:rsid w:val="00151286"/>
    <w:rsid w:val="00155D53"/>
    <w:rsid w:val="00156339"/>
    <w:rsid w:val="00162811"/>
    <w:rsid w:val="001633D1"/>
    <w:rsid w:val="0016545D"/>
    <w:rsid w:val="00166711"/>
    <w:rsid w:val="00167010"/>
    <w:rsid w:val="00167775"/>
    <w:rsid w:val="00167940"/>
    <w:rsid w:val="00171482"/>
    <w:rsid w:val="001741EC"/>
    <w:rsid w:val="00176EC6"/>
    <w:rsid w:val="001813DC"/>
    <w:rsid w:val="001832EB"/>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42EE"/>
    <w:rsid w:val="001D5A6E"/>
    <w:rsid w:val="001E37CE"/>
    <w:rsid w:val="001F168B"/>
    <w:rsid w:val="001F34E1"/>
    <w:rsid w:val="001F6E8E"/>
    <w:rsid w:val="00201555"/>
    <w:rsid w:val="002016D5"/>
    <w:rsid w:val="0020781B"/>
    <w:rsid w:val="002120CB"/>
    <w:rsid w:val="00212F37"/>
    <w:rsid w:val="002137B5"/>
    <w:rsid w:val="00213D02"/>
    <w:rsid w:val="00215AE7"/>
    <w:rsid w:val="00216E3D"/>
    <w:rsid w:val="002244C8"/>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59D4"/>
    <w:rsid w:val="00280A42"/>
    <w:rsid w:val="00283631"/>
    <w:rsid w:val="00285081"/>
    <w:rsid w:val="0028736C"/>
    <w:rsid w:val="002873BA"/>
    <w:rsid w:val="00290364"/>
    <w:rsid w:val="00290BFC"/>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E66DD"/>
    <w:rsid w:val="002F2896"/>
    <w:rsid w:val="002F2E0D"/>
    <w:rsid w:val="002F4840"/>
    <w:rsid w:val="003015CB"/>
    <w:rsid w:val="0030359B"/>
    <w:rsid w:val="00306D8F"/>
    <w:rsid w:val="003070EF"/>
    <w:rsid w:val="00310299"/>
    <w:rsid w:val="003103D3"/>
    <w:rsid w:val="00310D68"/>
    <w:rsid w:val="003110C2"/>
    <w:rsid w:val="00311C9B"/>
    <w:rsid w:val="00315449"/>
    <w:rsid w:val="00315655"/>
    <w:rsid w:val="003172DC"/>
    <w:rsid w:val="00320DE4"/>
    <w:rsid w:val="00321898"/>
    <w:rsid w:val="00326556"/>
    <w:rsid w:val="003334E6"/>
    <w:rsid w:val="00336F74"/>
    <w:rsid w:val="00337C60"/>
    <w:rsid w:val="003411E3"/>
    <w:rsid w:val="00350803"/>
    <w:rsid w:val="00350C51"/>
    <w:rsid w:val="0035148F"/>
    <w:rsid w:val="00351495"/>
    <w:rsid w:val="00351D46"/>
    <w:rsid w:val="0035462D"/>
    <w:rsid w:val="00357BAE"/>
    <w:rsid w:val="00357E16"/>
    <w:rsid w:val="0036524B"/>
    <w:rsid w:val="003662D7"/>
    <w:rsid w:val="00366FC5"/>
    <w:rsid w:val="003712DC"/>
    <w:rsid w:val="003735AF"/>
    <w:rsid w:val="00376CDE"/>
    <w:rsid w:val="00376F4F"/>
    <w:rsid w:val="00386600"/>
    <w:rsid w:val="00391124"/>
    <w:rsid w:val="0039393E"/>
    <w:rsid w:val="003961C8"/>
    <w:rsid w:val="003A2CD8"/>
    <w:rsid w:val="003A3E8B"/>
    <w:rsid w:val="003A639B"/>
    <w:rsid w:val="003B26F8"/>
    <w:rsid w:val="003B4EEF"/>
    <w:rsid w:val="003C2363"/>
    <w:rsid w:val="003C27B4"/>
    <w:rsid w:val="003C3971"/>
    <w:rsid w:val="003C4228"/>
    <w:rsid w:val="003C58B2"/>
    <w:rsid w:val="003D53BD"/>
    <w:rsid w:val="003E1A60"/>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6C52"/>
    <w:rsid w:val="00437742"/>
    <w:rsid w:val="004410DA"/>
    <w:rsid w:val="004412D7"/>
    <w:rsid w:val="00445219"/>
    <w:rsid w:val="00447E84"/>
    <w:rsid w:val="004512FF"/>
    <w:rsid w:val="0045549B"/>
    <w:rsid w:val="00462749"/>
    <w:rsid w:val="004645B5"/>
    <w:rsid w:val="004679BF"/>
    <w:rsid w:val="0047098F"/>
    <w:rsid w:val="0047540A"/>
    <w:rsid w:val="00481AD1"/>
    <w:rsid w:val="00484183"/>
    <w:rsid w:val="00487D49"/>
    <w:rsid w:val="00491C39"/>
    <w:rsid w:val="00494CF4"/>
    <w:rsid w:val="004963BF"/>
    <w:rsid w:val="004A483F"/>
    <w:rsid w:val="004A742D"/>
    <w:rsid w:val="004B0290"/>
    <w:rsid w:val="004B1CB0"/>
    <w:rsid w:val="004B7B5A"/>
    <w:rsid w:val="004C1FB6"/>
    <w:rsid w:val="004C2A1D"/>
    <w:rsid w:val="004C3D08"/>
    <w:rsid w:val="004C5730"/>
    <w:rsid w:val="004D3578"/>
    <w:rsid w:val="004E213A"/>
    <w:rsid w:val="004E21E5"/>
    <w:rsid w:val="004E2D8C"/>
    <w:rsid w:val="004E3710"/>
    <w:rsid w:val="004E374D"/>
    <w:rsid w:val="004E47B2"/>
    <w:rsid w:val="004E5F3A"/>
    <w:rsid w:val="004E68CC"/>
    <w:rsid w:val="004E73D0"/>
    <w:rsid w:val="004F0159"/>
    <w:rsid w:val="004F20BC"/>
    <w:rsid w:val="004F2EFC"/>
    <w:rsid w:val="004F2F1D"/>
    <w:rsid w:val="004F74A1"/>
    <w:rsid w:val="00502844"/>
    <w:rsid w:val="00513EEC"/>
    <w:rsid w:val="0051699C"/>
    <w:rsid w:val="0052353C"/>
    <w:rsid w:val="005258DF"/>
    <w:rsid w:val="00526BEE"/>
    <w:rsid w:val="00526CEE"/>
    <w:rsid w:val="005353FA"/>
    <w:rsid w:val="00537EB6"/>
    <w:rsid w:val="00542BA7"/>
    <w:rsid w:val="00543E6C"/>
    <w:rsid w:val="00551855"/>
    <w:rsid w:val="00561A92"/>
    <w:rsid w:val="00562144"/>
    <w:rsid w:val="00565087"/>
    <w:rsid w:val="00587189"/>
    <w:rsid w:val="005876E9"/>
    <w:rsid w:val="005A55E1"/>
    <w:rsid w:val="005B0043"/>
    <w:rsid w:val="005B2BDE"/>
    <w:rsid w:val="005B4436"/>
    <w:rsid w:val="005B4C45"/>
    <w:rsid w:val="005C294B"/>
    <w:rsid w:val="005C514F"/>
    <w:rsid w:val="005C6E15"/>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1081"/>
    <w:rsid w:val="0061294D"/>
    <w:rsid w:val="00614E86"/>
    <w:rsid w:val="00614FDF"/>
    <w:rsid w:val="0062015A"/>
    <w:rsid w:val="0062142F"/>
    <w:rsid w:val="006237ED"/>
    <w:rsid w:val="00626449"/>
    <w:rsid w:val="00626713"/>
    <w:rsid w:val="006277CF"/>
    <w:rsid w:val="00635504"/>
    <w:rsid w:val="00635960"/>
    <w:rsid w:val="0064113F"/>
    <w:rsid w:val="006416EE"/>
    <w:rsid w:val="00642F4B"/>
    <w:rsid w:val="00652C89"/>
    <w:rsid w:val="0065413D"/>
    <w:rsid w:val="006639DD"/>
    <w:rsid w:val="00666463"/>
    <w:rsid w:val="00671775"/>
    <w:rsid w:val="00677386"/>
    <w:rsid w:val="00680F3C"/>
    <w:rsid w:val="00681D6F"/>
    <w:rsid w:val="00682170"/>
    <w:rsid w:val="00684245"/>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C254E"/>
    <w:rsid w:val="006C303B"/>
    <w:rsid w:val="006C3F36"/>
    <w:rsid w:val="006C53D3"/>
    <w:rsid w:val="006D1EA5"/>
    <w:rsid w:val="006D1F9A"/>
    <w:rsid w:val="006D28C5"/>
    <w:rsid w:val="006E1037"/>
    <w:rsid w:val="006E41E9"/>
    <w:rsid w:val="006E5C86"/>
    <w:rsid w:val="006F02B9"/>
    <w:rsid w:val="006F111B"/>
    <w:rsid w:val="00700B57"/>
    <w:rsid w:val="00701D75"/>
    <w:rsid w:val="007044F6"/>
    <w:rsid w:val="007100AD"/>
    <w:rsid w:val="0071017A"/>
    <w:rsid w:val="00711037"/>
    <w:rsid w:val="00712F8C"/>
    <w:rsid w:val="00725792"/>
    <w:rsid w:val="00732A74"/>
    <w:rsid w:val="00734A5B"/>
    <w:rsid w:val="00736D17"/>
    <w:rsid w:val="007441D0"/>
    <w:rsid w:val="00744E76"/>
    <w:rsid w:val="007567D7"/>
    <w:rsid w:val="00756A51"/>
    <w:rsid w:val="00763C76"/>
    <w:rsid w:val="0076761B"/>
    <w:rsid w:val="00770221"/>
    <w:rsid w:val="00775DE5"/>
    <w:rsid w:val="0077614D"/>
    <w:rsid w:val="0077651D"/>
    <w:rsid w:val="00777BEC"/>
    <w:rsid w:val="0078163B"/>
    <w:rsid w:val="00781F0F"/>
    <w:rsid w:val="0078601E"/>
    <w:rsid w:val="0079093A"/>
    <w:rsid w:val="00793EBE"/>
    <w:rsid w:val="00796007"/>
    <w:rsid w:val="007A39B1"/>
    <w:rsid w:val="007A3BC8"/>
    <w:rsid w:val="007A402F"/>
    <w:rsid w:val="007A4FDC"/>
    <w:rsid w:val="007A752C"/>
    <w:rsid w:val="007B246F"/>
    <w:rsid w:val="007B2778"/>
    <w:rsid w:val="007C079A"/>
    <w:rsid w:val="007C1FAE"/>
    <w:rsid w:val="007C20CA"/>
    <w:rsid w:val="007C5E58"/>
    <w:rsid w:val="007D2584"/>
    <w:rsid w:val="007D7E41"/>
    <w:rsid w:val="007E0B23"/>
    <w:rsid w:val="007E0BF2"/>
    <w:rsid w:val="007E2729"/>
    <w:rsid w:val="007E32E1"/>
    <w:rsid w:val="007E43DC"/>
    <w:rsid w:val="007F23C7"/>
    <w:rsid w:val="008028A4"/>
    <w:rsid w:val="0080335D"/>
    <w:rsid w:val="00805188"/>
    <w:rsid w:val="00806F25"/>
    <w:rsid w:val="00810D4B"/>
    <w:rsid w:val="008160E5"/>
    <w:rsid w:val="00816A6D"/>
    <w:rsid w:val="00817EF7"/>
    <w:rsid w:val="0082248A"/>
    <w:rsid w:val="0082610B"/>
    <w:rsid w:val="0083527F"/>
    <w:rsid w:val="008357D8"/>
    <w:rsid w:val="00837A66"/>
    <w:rsid w:val="00843307"/>
    <w:rsid w:val="008463C3"/>
    <w:rsid w:val="008469D3"/>
    <w:rsid w:val="00846D56"/>
    <w:rsid w:val="00850CA7"/>
    <w:rsid w:val="0085185A"/>
    <w:rsid w:val="008522B8"/>
    <w:rsid w:val="00853453"/>
    <w:rsid w:val="008560BC"/>
    <w:rsid w:val="00857FAF"/>
    <w:rsid w:val="00860983"/>
    <w:rsid w:val="008656C0"/>
    <w:rsid w:val="008729AE"/>
    <w:rsid w:val="008729D3"/>
    <w:rsid w:val="00873674"/>
    <w:rsid w:val="00875170"/>
    <w:rsid w:val="008768CA"/>
    <w:rsid w:val="0088273B"/>
    <w:rsid w:val="00882DB6"/>
    <w:rsid w:val="008833CB"/>
    <w:rsid w:val="008848AB"/>
    <w:rsid w:val="008862A0"/>
    <w:rsid w:val="00891CA3"/>
    <w:rsid w:val="00893CC6"/>
    <w:rsid w:val="0089534E"/>
    <w:rsid w:val="008A0925"/>
    <w:rsid w:val="008B1270"/>
    <w:rsid w:val="008C02B7"/>
    <w:rsid w:val="008C541D"/>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1FB"/>
    <w:rsid w:val="00905ECC"/>
    <w:rsid w:val="0090797C"/>
    <w:rsid w:val="00912203"/>
    <w:rsid w:val="0091348E"/>
    <w:rsid w:val="009151E6"/>
    <w:rsid w:val="00916EC0"/>
    <w:rsid w:val="00917CCB"/>
    <w:rsid w:val="00941F97"/>
    <w:rsid w:val="0094290A"/>
    <w:rsid w:val="00942EC2"/>
    <w:rsid w:val="00943578"/>
    <w:rsid w:val="009452C2"/>
    <w:rsid w:val="009479F3"/>
    <w:rsid w:val="00950235"/>
    <w:rsid w:val="009559D5"/>
    <w:rsid w:val="00961048"/>
    <w:rsid w:val="00961486"/>
    <w:rsid w:val="009651B5"/>
    <w:rsid w:val="00965CEB"/>
    <w:rsid w:val="00967FF0"/>
    <w:rsid w:val="0097416F"/>
    <w:rsid w:val="009833AE"/>
    <w:rsid w:val="00983409"/>
    <w:rsid w:val="009862B8"/>
    <w:rsid w:val="009866CC"/>
    <w:rsid w:val="00987A5D"/>
    <w:rsid w:val="009920EC"/>
    <w:rsid w:val="009A19A6"/>
    <w:rsid w:val="009A7B93"/>
    <w:rsid w:val="009B03B5"/>
    <w:rsid w:val="009B3277"/>
    <w:rsid w:val="009C25EF"/>
    <w:rsid w:val="009C2BF0"/>
    <w:rsid w:val="009C63B1"/>
    <w:rsid w:val="009D191A"/>
    <w:rsid w:val="009D337B"/>
    <w:rsid w:val="009D7CC3"/>
    <w:rsid w:val="009E1897"/>
    <w:rsid w:val="009E6FF2"/>
    <w:rsid w:val="009E7377"/>
    <w:rsid w:val="009E748A"/>
    <w:rsid w:val="009E75B8"/>
    <w:rsid w:val="009F37B7"/>
    <w:rsid w:val="009F3C30"/>
    <w:rsid w:val="00A00879"/>
    <w:rsid w:val="00A013B5"/>
    <w:rsid w:val="00A0142D"/>
    <w:rsid w:val="00A015E3"/>
    <w:rsid w:val="00A02B61"/>
    <w:rsid w:val="00A0439D"/>
    <w:rsid w:val="00A0456C"/>
    <w:rsid w:val="00A05022"/>
    <w:rsid w:val="00A10F02"/>
    <w:rsid w:val="00A11189"/>
    <w:rsid w:val="00A11C5D"/>
    <w:rsid w:val="00A13418"/>
    <w:rsid w:val="00A14062"/>
    <w:rsid w:val="00A164B4"/>
    <w:rsid w:val="00A257D3"/>
    <w:rsid w:val="00A25F6E"/>
    <w:rsid w:val="00A27F9B"/>
    <w:rsid w:val="00A31FE2"/>
    <w:rsid w:val="00A32ADA"/>
    <w:rsid w:val="00A37630"/>
    <w:rsid w:val="00A37AA2"/>
    <w:rsid w:val="00A37EA2"/>
    <w:rsid w:val="00A41DF4"/>
    <w:rsid w:val="00A44856"/>
    <w:rsid w:val="00A44A56"/>
    <w:rsid w:val="00A47D75"/>
    <w:rsid w:val="00A53724"/>
    <w:rsid w:val="00A56BBC"/>
    <w:rsid w:val="00A61768"/>
    <w:rsid w:val="00A621C0"/>
    <w:rsid w:val="00A647A9"/>
    <w:rsid w:val="00A70C63"/>
    <w:rsid w:val="00A72A98"/>
    <w:rsid w:val="00A734A3"/>
    <w:rsid w:val="00A73D8A"/>
    <w:rsid w:val="00A76099"/>
    <w:rsid w:val="00A77E9C"/>
    <w:rsid w:val="00A82346"/>
    <w:rsid w:val="00A852CB"/>
    <w:rsid w:val="00A871C1"/>
    <w:rsid w:val="00A92F28"/>
    <w:rsid w:val="00A9318F"/>
    <w:rsid w:val="00A94BC1"/>
    <w:rsid w:val="00A94CD1"/>
    <w:rsid w:val="00AB05A7"/>
    <w:rsid w:val="00AB1185"/>
    <w:rsid w:val="00AC7166"/>
    <w:rsid w:val="00AD088C"/>
    <w:rsid w:val="00AD4878"/>
    <w:rsid w:val="00AD63FB"/>
    <w:rsid w:val="00AD7395"/>
    <w:rsid w:val="00AE0793"/>
    <w:rsid w:val="00AF0703"/>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403D8"/>
    <w:rsid w:val="00B40C8A"/>
    <w:rsid w:val="00B4732F"/>
    <w:rsid w:val="00B50254"/>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17F6"/>
    <w:rsid w:val="00BA2CE8"/>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BF721A"/>
    <w:rsid w:val="00C00441"/>
    <w:rsid w:val="00C014AB"/>
    <w:rsid w:val="00C07194"/>
    <w:rsid w:val="00C10B2B"/>
    <w:rsid w:val="00C14BF2"/>
    <w:rsid w:val="00C152F3"/>
    <w:rsid w:val="00C1643B"/>
    <w:rsid w:val="00C2228A"/>
    <w:rsid w:val="00C33079"/>
    <w:rsid w:val="00C37CEB"/>
    <w:rsid w:val="00C41DE1"/>
    <w:rsid w:val="00C445FC"/>
    <w:rsid w:val="00C45231"/>
    <w:rsid w:val="00C45A92"/>
    <w:rsid w:val="00C45E61"/>
    <w:rsid w:val="00C53C93"/>
    <w:rsid w:val="00C53F06"/>
    <w:rsid w:val="00C54EB8"/>
    <w:rsid w:val="00C5568D"/>
    <w:rsid w:val="00C561AC"/>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3663"/>
    <w:rsid w:val="00CC6072"/>
    <w:rsid w:val="00CC6673"/>
    <w:rsid w:val="00CC7B2B"/>
    <w:rsid w:val="00CC7F3E"/>
    <w:rsid w:val="00CD0309"/>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7E14"/>
    <w:rsid w:val="00D15A0B"/>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67665"/>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1626"/>
    <w:rsid w:val="00D949D7"/>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6EF"/>
    <w:rsid w:val="00DF2B1F"/>
    <w:rsid w:val="00DF54FF"/>
    <w:rsid w:val="00DF611B"/>
    <w:rsid w:val="00DF62CD"/>
    <w:rsid w:val="00E0156A"/>
    <w:rsid w:val="00E037C5"/>
    <w:rsid w:val="00E0534D"/>
    <w:rsid w:val="00E058EF"/>
    <w:rsid w:val="00E12A44"/>
    <w:rsid w:val="00E164A5"/>
    <w:rsid w:val="00E168B2"/>
    <w:rsid w:val="00E22EE8"/>
    <w:rsid w:val="00E30A87"/>
    <w:rsid w:val="00E30EC4"/>
    <w:rsid w:val="00E416AD"/>
    <w:rsid w:val="00E418DB"/>
    <w:rsid w:val="00E41EBC"/>
    <w:rsid w:val="00E42A60"/>
    <w:rsid w:val="00E43ED6"/>
    <w:rsid w:val="00E43FF0"/>
    <w:rsid w:val="00E51302"/>
    <w:rsid w:val="00E538D6"/>
    <w:rsid w:val="00E6017F"/>
    <w:rsid w:val="00E60E94"/>
    <w:rsid w:val="00E6650D"/>
    <w:rsid w:val="00E66D40"/>
    <w:rsid w:val="00E67E7D"/>
    <w:rsid w:val="00E705E9"/>
    <w:rsid w:val="00E70AC5"/>
    <w:rsid w:val="00E72F90"/>
    <w:rsid w:val="00E74DF3"/>
    <w:rsid w:val="00E754A8"/>
    <w:rsid w:val="00E77645"/>
    <w:rsid w:val="00E80AED"/>
    <w:rsid w:val="00E81E11"/>
    <w:rsid w:val="00E83F59"/>
    <w:rsid w:val="00E85BC1"/>
    <w:rsid w:val="00E8794F"/>
    <w:rsid w:val="00E91E71"/>
    <w:rsid w:val="00EB26BD"/>
    <w:rsid w:val="00EB33C7"/>
    <w:rsid w:val="00EB60B1"/>
    <w:rsid w:val="00EB67AD"/>
    <w:rsid w:val="00EC4A25"/>
    <w:rsid w:val="00EC5C3A"/>
    <w:rsid w:val="00EE00EA"/>
    <w:rsid w:val="00EE0A3C"/>
    <w:rsid w:val="00EE3C26"/>
    <w:rsid w:val="00EE3F1D"/>
    <w:rsid w:val="00EE4BD1"/>
    <w:rsid w:val="00EE4F55"/>
    <w:rsid w:val="00EE6D5E"/>
    <w:rsid w:val="00EF22AE"/>
    <w:rsid w:val="00EF7579"/>
    <w:rsid w:val="00F025A2"/>
    <w:rsid w:val="00F04712"/>
    <w:rsid w:val="00F10912"/>
    <w:rsid w:val="00F121DB"/>
    <w:rsid w:val="00F14C1D"/>
    <w:rsid w:val="00F17EFD"/>
    <w:rsid w:val="00F21044"/>
    <w:rsid w:val="00F22EC7"/>
    <w:rsid w:val="00F2438F"/>
    <w:rsid w:val="00F24B28"/>
    <w:rsid w:val="00F25F1B"/>
    <w:rsid w:val="00F26EC6"/>
    <w:rsid w:val="00F26FFA"/>
    <w:rsid w:val="00F31EF0"/>
    <w:rsid w:val="00F36262"/>
    <w:rsid w:val="00F40D4C"/>
    <w:rsid w:val="00F419EB"/>
    <w:rsid w:val="00F4261C"/>
    <w:rsid w:val="00F505D8"/>
    <w:rsid w:val="00F52383"/>
    <w:rsid w:val="00F535B4"/>
    <w:rsid w:val="00F653B8"/>
    <w:rsid w:val="00F703A3"/>
    <w:rsid w:val="00F71FB3"/>
    <w:rsid w:val="00F82771"/>
    <w:rsid w:val="00F830B9"/>
    <w:rsid w:val="00F83F8C"/>
    <w:rsid w:val="00F84DC9"/>
    <w:rsid w:val="00F90603"/>
    <w:rsid w:val="00F95DAF"/>
    <w:rsid w:val="00FA1266"/>
    <w:rsid w:val="00FA2E87"/>
    <w:rsid w:val="00FB24C6"/>
    <w:rsid w:val="00FB31F3"/>
    <w:rsid w:val="00FB6DAE"/>
    <w:rsid w:val="00FB7986"/>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BD2EE5"/>
  <w15:chartTrackingRefBased/>
  <w15:docId w15:val="{A4A3BEC9-EDFF-42A2-939F-D31C3604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lang w:val="en-SE" w:eastAsia="en-SE"/>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69E269-E7E3-42D3-A25B-DED85696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1EEDC-A1D4-42E3-B9AE-B2E6145B46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Editor</cp:lastModifiedBy>
  <cp:revision>50</cp:revision>
  <dcterms:created xsi:type="dcterms:W3CDTF">2023-02-10T08:58:00Z</dcterms:created>
  <dcterms:modified xsi:type="dcterms:W3CDTF">2023-02-10T17:31:00Z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ies>
</file>