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1FA664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</w:t>
      </w:r>
      <w:r w:rsidR="00ED6CE3">
        <w:rPr>
          <w:rFonts w:ascii="Arial" w:hAnsi="Arial" w:cs="Arial"/>
          <w:b/>
          <w:bCs/>
          <w:sz w:val="24"/>
          <w:szCs w:val="24"/>
        </w:rPr>
        <w:t>9274</w:t>
      </w:r>
    </w:p>
    <w:p w14:paraId="6635DFD4" w14:textId="77FC251F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ED6CE3">
        <w:rPr>
          <w:rFonts w:ascii="Arial" w:hAnsi="Arial" w:cs="Arial"/>
          <w:b/>
          <w:noProof/>
          <w:color w:val="3333FF"/>
        </w:rPr>
        <w:t>8295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A980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2A59E8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B19D0" w:rsidRPr="002B19D0">
        <w:t>SA WG2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455B205B" w:rsidR="00463675" w:rsidRPr="00221641" w:rsidRDefault="002B19D0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</w:t>
      </w:r>
      <w:r w:rsidR="00463675" w:rsidRPr="005F1FCD">
        <w:rPr>
          <w:lang w:val="fr-FR"/>
        </w:rPr>
        <w:t>:</w:t>
      </w:r>
      <w:r w:rsidR="00463675"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8988FA2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ED6CE3">
        <w:t>None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55A0EE11" w:rsidR="001E3CF5" w:rsidRDefault="003E3D6D" w:rsidP="001E3CF5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r w:rsidR="001E3CF5">
        <w:rPr>
          <w:rFonts w:ascii="Arial" w:hAnsi="Arial" w:cs="Arial"/>
          <w:bCs/>
        </w:rPr>
        <w:t>point of view</w:t>
      </w:r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r w:rsidR="001E3CF5">
        <w:rPr>
          <w:rFonts w:ascii="Arial" w:hAnsi="Arial" w:cs="Arial"/>
          <w:bCs/>
        </w:rPr>
        <w:t>For uplink direction, UE provides the Payload and Payload Type in the NAS container</w:t>
      </w:r>
      <w:r w:rsidR="00D26D1B">
        <w:rPr>
          <w:rFonts w:ascii="Arial" w:hAnsi="Arial" w:cs="Arial"/>
          <w:bCs/>
        </w:rPr>
        <w:t xml:space="preserve"> as per current stage 3 specifications</w:t>
      </w:r>
      <w:r w:rsidR="001E3CF5">
        <w:rPr>
          <w:rFonts w:ascii="Arial" w:hAnsi="Arial" w:cs="Arial"/>
          <w:bCs/>
        </w:rPr>
        <w:t>. T</w:t>
      </w:r>
      <w:r>
        <w:rPr>
          <w:rFonts w:ascii="Arial" w:hAnsi="Arial" w:cs="Arial"/>
          <w:bCs/>
        </w:rPr>
        <w:t xml:space="preserve">he SMF invokes </w:t>
      </w:r>
      <w:proofErr w:type="spellStart"/>
      <w:r w:rsidRPr="003E3D6D">
        <w:rPr>
          <w:rFonts w:ascii="Arial" w:hAnsi="Arial" w:cs="Arial"/>
          <w:bCs/>
        </w:rPr>
        <w:t>Nnef_Authentication_AuthenticateAuthorize</w:t>
      </w:r>
      <w:proofErr w:type="spellEnd"/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r w:rsidR="001E3CF5">
        <w:rPr>
          <w:rFonts w:ascii="Arial" w:hAnsi="Arial" w:cs="Arial"/>
          <w:bCs/>
        </w:rPr>
        <w:t xml:space="preserve">Payload and Payload Type </w:t>
      </w:r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r w:rsidR="001E3CF5" w:rsidRPr="001E3CF5">
        <w:rPr>
          <w:rFonts w:ascii="Arial" w:hAnsi="Arial" w:cs="Arial"/>
          <w:bCs/>
        </w:rPr>
        <w:t xml:space="preserve">For downlink direction, </w:t>
      </w:r>
      <w:r w:rsidR="00646F3D" w:rsidRPr="00ED6CE3">
        <w:rPr>
          <w:rFonts w:ascii="Arial" w:hAnsi="Arial" w:cs="Arial" w:hint="eastAsia"/>
          <w:bCs/>
          <w:lang w:eastAsia="zh-CN"/>
        </w:rPr>
        <w:t>SA2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 w:hint="eastAsia"/>
          <w:bCs/>
          <w:lang w:eastAsia="zh-CN"/>
        </w:rPr>
        <w:t>understand</w:t>
      </w:r>
      <w:r w:rsidR="006E40A0">
        <w:rPr>
          <w:rFonts w:ascii="Arial" w:hAnsi="Arial" w:cs="Arial"/>
          <w:bCs/>
          <w:lang w:eastAsia="zh-CN"/>
        </w:rPr>
        <w:t>s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/>
          <w:bCs/>
          <w:lang w:eastAsia="zh-CN"/>
        </w:rPr>
        <w:t>it</w:t>
      </w:r>
      <w:r w:rsidR="00544184" w:rsidRPr="00ED6CE3">
        <w:rPr>
          <w:rFonts w:ascii="Arial" w:hAnsi="Arial" w:cs="Arial"/>
          <w:bCs/>
          <w:lang w:eastAsia="zh-CN"/>
        </w:rPr>
        <w:t xml:space="preserve"> i</w:t>
      </w:r>
      <w:r w:rsidR="00646F3D" w:rsidRPr="00ED6CE3">
        <w:rPr>
          <w:rFonts w:ascii="Arial" w:hAnsi="Arial" w:cs="Arial"/>
          <w:bCs/>
          <w:lang w:eastAsia="zh-CN"/>
        </w:rPr>
        <w:t xml:space="preserve">s </w:t>
      </w:r>
      <w:r w:rsidR="004A3908" w:rsidRPr="00ED6CE3">
        <w:rPr>
          <w:rFonts w:ascii="Arial" w:hAnsi="Arial" w:cs="Arial"/>
          <w:bCs/>
          <w:lang w:eastAsia="zh-CN"/>
        </w:rPr>
        <w:t xml:space="preserve">up to </w:t>
      </w:r>
      <w:r w:rsidR="00646F3D" w:rsidRPr="00ED6CE3">
        <w:rPr>
          <w:rFonts w:ascii="Arial" w:hAnsi="Arial" w:cs="Arial"/>
          <w:bCs/>
          <w:lang w:eastAsia="zh-CN"/>
        </w:rPr>
        <w:t xml:space="preserve">stage 3 to decide whether </w:t>
      </w:r>
      <w:r w:rsidR="004A3908" w:rsidRPr="00ED6CE3">
        <w:rPr>
          <w:rFonts w:ascii="Arial" w:hAnsi="Arial" w:cs="Arial"/>
          <w:bCs/>
          <w:lang w:eastAsia="zh-CN"/>
        </w:rPr>
        <w:t xml:space="preserve">the </w:t>
      </w:r>
      <w:r w:rsidR="001E3CF5" w:rsidRPr="00ED6CE3">
        <w:rPr>
          <w:rFonts w:ascii="Arial" w:hAnsi="Arial" w:cs="Arial"/>
          <w:bCs/>
        </w:rPr>
        <w:t>UAS NF provides the Payload</w:t>
      </w:r>
      <w:r w:rsidR="00A03CCE" w:rsidRPr="00ED6CE3">
        <w:rPr>
          <w:rFonts w:ascii="Arial" w:hAnsi="Arial" w:cs="Arial"/>
          <w:bCs/>
        </w:rPr>
        <w:t xml:space="preserve"> type</w:t>
      </w:r>
      <w:r w:rsidR="001E3CF5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along with </w:t>
      </w:r>
      <w:r w:rsidR="00A03CCE" w:rsidRPr="00ED6CE3">
        <w:rPr>
          <w:rFonts w:ascii="Arial" w:hAnsi="Arial" w:cs="Arial"/>
          <w:bCs/>
        </w:rPr>
        <w:t>the payload,</w:t>
      </w:r>
      <w:r w:rsidR="001E3CF5" w:rsidRPr="00ED6CE3">
        <w:rPr>
          <w:rFonts w:ascii="Arial" w:hAnsi="Arial" w:cs="Arial"/>
          <w:bCs/>
        </w:rPr>
        <w:t xml:space="preserve"> which </w:t>
      </w:r>
      <w:r w:rsidR="004A3908" w:rsidRPr="00ED6CE3">
        <w:rPr>
          <w:rFonts w:ascii="Arial" w:hAnsi="Arial" w:cs="Arial"/>
          <w:bCs/>
        </w:rPr>
        <w:t>are</w:t>
      </w:r>
      <w:r w:rsidR="00D8665C" w:rsidRPr="00ED6CE3">
        <w:rPr>
          <w:rFonts w:ascii="Arial" w:hAnsi="Arial" w:cs="Arial"/>
          <w:bCs/>
        </w:rPr>
        <w:t xml:space="preserve"> transparent to the SMF</w:t>
      </w:r>
      <w:r w:rsidR="00A03CCE" w:rsidRPr="00ED6CE3">
        <w:rPr>
          <w:rFonts w:ascii="Arial" w:hAnsi="Arial" w:cs="Arial"/>
          <w:bCs/>
        </w:rPr>
        <w:t>,</w:t>
      </w:r>
      <w:r w:rsidR="00D8665C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and </w:t>
      </w:r>
      <w:r w:rsidR="001E3CF5" w:rsidRPr="00ED6CE3">
        <w:rPr>
          <w:rFonts w:ascii="Arial" w:hAnsi="Arial" w:cs="Arial"/>
          <w:bCs/>
        </w:rPr>
        <w:t>the SMF forward</w:t>
      </w:r>
      <w:r w:rsidR="00D8665C" w:rsidRPr="00ED6CE3">
        <w:rPr>
          <w:rFonts w:ascii="Arial" w:hAnsi="Arial" w:cs="Arial"/>
          <w:bCs/>
        </w:rPr>
        <w:t>s</w:t>
      </w:r>
      <w:r w:rsidR="001E3CF5" w:rsidRPr="00ED6CE3">
        <w:rPr>
          <w:rFonts w:ascii="Arial" w:hAnsi="Arial" w:cs="Arial"/>
          <w:bCs/>
        </w:rPr>
        <w:t xml:space="preserve"> </w:t>
      </w:r>
      <w:r w:rsidR="005421CF" w:rsidRPr="00ED6CE3">
        <w:rPr>
          <w:rFonts w:ascii="Arial" w:hAnsi="Arial" w:cs="Arial"/>
          <w:bCs/>
        </w:rPr>
        <w:t xml:space="preserve">them </w:t>
      </w:r>
      <w:r w:rsidR="001E3CF5" w:rsidRPr="00ED6CE3">
        <w:rPr>
          <w:rFonts w:ascii="Arial" w:hAnsi="Arial" w:cs="Arial"/>
          <w:bCs/>
        </w:rPr>
        <w:t>to the UE.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80E1" w14:textId="77777777" w:rsidR="00656285" w:rsidRDefault="00656285">
      <w:r>
        <w:separator/>
      </w:r>
    </w:p>
  </w:endnote>
  <w:endnote w:type="continuationSeparator" w:id="0">
    <w:p w14:paraId="6DAD4324" w14:textId="77777777" w:rsidR="00656285" w:rsidRDefault="00656285">
      <w:r>
        <w:continuationSeparator/>
      </w:r>
    </w:p>
  </w:endnote>
  <w:endnote w:type="continuationNotice" w:id="1">
    <w:p w14:paraId="2CFAADDF" w14:textId="77777777" w:rsidR="00656285" w:rsidRDefault="00656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D18C" w14:textId="77777777" w:rsidR="00656285" w:rsidRDefault="00656285">
      <w:r>
        <w:separator/>
      </w:r>
    </w:p>
  </w:footnote>
  <w:footnote w:type="continuationSeparator" w:id="0">
    <w:p w14:paraId="2D932E8F" w14:textId="77777777" w:rsidR="00656285" w:rsidRDefault="00656285">
      <w:r>
        <w:continuationSeparator/>
      </w:r>
    </w:p>
  </w:footnote>
  <w:footnote w:type="continuationNotice" w:id="1">
    <w:p w14:paraId="51323A1B" w14:textId="77777777" w:rsidR="00656285" w:rsidRDefault="006562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7207809">
    <w:abstractNumId w:val="19"/>
  </w:num>
  <w:num w:numId="2" w16cid:durableId="675768782">
    <w:abstractNumId w:val="15"/>
  </w:num>
  <w:num w:numId="3" w16cid:durableId="888804879">
    <w:abstractNumId w:val="13"/>
  </w:num>
  <w:num w:numId="4" w16cid:durableId="1516383355">
    <w:abstractNumId w:val="10"/>
  </w:num>
  <w:num w:numId="5" w16cid:durableId="1155142485">
    <w:abstractNumId w:val="9"/>
  </w:num>
  <w:num w:numId="6" w16cid:durableId="579297236">
    <w:abstractNumId w:val="7"/>
  </w:num>
  <w:num w:numId="7" w16cid:durableId="1371029539">
    <w:abstractNumId w:val="6"/>
  </w:num>
  <w:num w:numId="8" w16cid:durableId="1654598197">
    <w:abstractNumId w:val="5"/>
  </w:num>
  <w:num w:numId="9" w16cid:durableId="955912352">
    <w:abstractNumId w:val="4"/>
  </w:num>
  <w:num w:numId="10" w16cid:durableId="555361804">
    <w:abstractNumId w:val="8"/>
  </w:num>
  <w:num w:numId="11" w16cid:durableId="17897948">
    <w:abstractNumId w:val="3"/>
  </w:num>
  <w:num w:numId="12" w16cid:durableId="1531453814">
    <w:abstractNumId w:val="2"/>
  </w:num>
  <w:num w:numId="13" w16cid:durableId="2028291402">
    <w:abstractNumId w:val="1"/>
  </w:num>
  <w:num w:numId="14" w16cid:durableId="788741177">
    <w:abstractNumId w:val="0"/>
  </w:num>
  <w:num w:numId="15" w16cid:durableId="1528179736">
    <w:abstractNumId w:val="18"/>
  </w:num>
  <w:num w:numId="16" w16cid:durableId="241528442">
    <w:abstractNumId w:val="11"/>
  </w:num>
  <w:num w:numId="17" w16cid:durableId="1298340672">
    <w:abstractNumId w:val="16"/>
  </w:num>
  <w:num w:numId="18" w16cid:durableId="1634603098">
    <w:abstractNumId w:val="12"/>
  </w:num>
  <w:num w:numId="19" w16cid:durableId="1973248660">
    <w:abstractNumId w:val="17"/>
  </w:num>
  <w:num w:numId="20" w16cid:durableId="2248973">
    <w:abstractNumId w:val="21"/>
  </w:num>
  <w:num w:numId="21" w16cid:durableId="418142310">
    <w:abstractNumId w:val="14"/>
  </w:num>
  <w:num w:numId="22" w16cid:durableId="108707629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9D0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3908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56285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E40A0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340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2950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D6CE3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6</cp:revision>
  <cp:lastPrinted>2002-04-23T08:10:00Z</cp:lastPrinted>
  <dcterms:created xsi:type="dcterms:W3CDTF">2022-10-12T14:38:00Z</dcterms:created>
  <dcterms:modified xsi:type="dcterms:W3CDTF">2022-10-18T09:02:00Z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