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#137E</w:t>
      </w:r>
      <w:r>
        <w:rPr>
          <w:b/>
          <w:i/>
          <w:noProof/>
          <w:sz w:val="28"/>
        </w:rPr>
        <w:tab/>
        <w:t>S2-2001883</w:t>
      </w:r>
      <w:ins w:id="0" w:author="Myungjune@LGE_r01" w:date="2020-02-24T10:19:00Z">
        <w:r>
          <w:rPr>
            <w:b/>
            <w:i/>
            <w:noProof/>
            <w:sz w:val="28"/>
          </w:rPr>
          <w:t>r0</w:t>
        </w:r>
        <w:del w:id="1" w:author="Myungjune@LGE_r02" w:date="2020-02-25T10:20:00Z">
          <w:r>
            <w:rPr>
              <w:b/>
              <w:i/>
              <w:noProof/>
              <w:sz w:val="28"/>
            </w:rPr>
            <w:delText>1</w:delText>
          </w:r>
        </w:del>
      </w:ins>
      <w:ins w:id="2" w:author="Myungjune@LGE_r02" w:date="2020-02-25T10:20:00Z">
        <w:r>
          <w:rPr>
            <w:b/>
            <w:i/>
            <w:noProof/>
            <w:sz w:val="28"/>
          </w:rPr>
          <w:t>2</w:t>
        </w:r>
      </w:ins>
    </w:p>
    <w:p>
      <w:pPr>
        <w:pStyle w:val="CRCoverPage"/>
        <w:tabs>
          <w:tab w:val="right" w:pos="9639"/>
        </w:tabs>
        <w:outlineLvl w:val="0"/>
        <w:rPr>
          <w:b/>
          <w:noProof/>
          <w:sz w:val="24"/>
        </w:rPr>
      </w:pPr>
      <w:r>
        <w:rPr>
          <w:rFonts w:cs="Arial"/>
          <w:b/>
          <w:noProof/>
          <w:sz w:val="24"/>
          <w:szCs w:val="24"/>
        </w:rPr>
        <w:t xml:space="preserve">24 - 27 Feb, </w:t>
      </w:r>
      <w:r>
        <w:rPr>
          <w:rFonts w:cs="Arial"/>
          <w:b/>
          <w:noProof/>
          <w:sz w:val="24"/>
        </w:rPr>
        <w:t>2020</w:t>
      </w:r>
      <w:r>
        <w:rPr>
          <w:rFonts w:cs="Arial"/>
          <w:b/>
          <w:noProof/>
          <w:sz w:val="24"/>
          <w:szCs w:val="24"/>
        </w:rPr>
        <w:t>, Electronic Meeting</w:t>
      </w:r>
      <w:r>
        <w:rPr>
          <w:b/>
          <w:noProof/>
          <w:sz w:val="24"/>
        </w:rPr>
        <w:tab/>
      </w:r>
      <w:r>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w:t>
              </w:r>
            </w:fldSimple>
            <w:r>
              <w:rPr>
                <w:b/>
                <w:noProof/>
                <w:sz w:val="28"/>
              </w:rPr>
              <w:t>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2141</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
            </w:pPr>
            <w:r>
              <w:rPr>
                <w:b/>
                <w:sz w:val="28"/>
                <w:szCs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16.3.0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del w:id="3" w:author="Myungjune@LGE_r01" w:date="2020-02-24T10:20:00Z">
              <w:r>
                <w:rPr>
                  <w:b/>
                  <w:caps/>
                  <w:noProof/>
                  <w:lang w:eastAsia="ko-KR"/>
                </w:rPr>
                <w:delText>X</w:delText>
              </w:r>
            </w:del>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lang w:eastAsia="ko-KR"/>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QoS handling of MA PDU Session for interworking with N26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Ericsson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Tsg  \* MERGEFORMAT ">
              <w:r>
                <w:t>SA2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2020-02-16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rFonts w:cs="Arial"/>
                <w:b/>
                <w:i/>
                <w:noProof/>
              </w:rPr>
            </w:pPr>
            <w:r>
              <w:rPr>
                <w:rFonts w:cs="Arial"/>
                <w:b/>
                <w:i/>
                <w:noProof/>
              </w:rPr>
              <w:t>Reason for change:</w:t>
            </w:r>
          </w:p>
        </w:tc>
        <w:tc>
          <w:tcPr>
            <w:tcW w:w="6946" w:type="dxa"/>
            <w:gridSpan w:val="9"/>
            <w:tcBorders>
              <w:top w:val="single" w:sz="4" w:space="0" w:color="auto"/>
              <w:right w:val="single" w:sz="4" w:space="0" w:color="auto"/>
            </w:tcBorders>
            <w:shd w:val="pct30" w:color="FFFF00" w:fill="auto"/>
          </w:tcPr>
          <w:p>
            <w:pPr>
              <w:spacing w:before="80" w:after="0"/>
              <w:rPr>
                <w:rFonts w:ascii="Arial" w:hAnsi="Arial" w:cs="Arial"/>
                <w:noProof/>
                <w:lang w:eastAsia="ko-KR"/>
              </w:rPr>
            </w:pPr>
            <w:r>
              <w:rPr>
                <w:rFonts w:ascii="Arial" w:hAnsi="Arial" w:cs="Arial"/>
                <w:noProof/>
                <w:lang w:eastAsia="ko-KR"/>
              </w:rPr>
              <w:t>#1 Unclear how to set indication of inteworking with N26 when MA PDU Session request is sent over non-3GPP when the UE is registered to the same PLMN over 3GPP and non-3GPP accesses.</w:t>
            </w:r>
          </w:p>
          <w:p>
            <w:pPr>
              <w:spacing w:before="80" w:after="0"/>
              <w:rPr>
                <w:rFonts w:ascii="Arial" w:hAnsi="Arial" w:cs="Arial"/>
                <w:noProof/>
                <w:lang w:eastAsia="ko-KR"/>
              </w:rPr>
            </w:pPr>
            <w:r>
              <w:rPr>
                <w:rFonts w:ascii="Arial" w:hAnsi="Arial" w:cs="Arial"/>
                <w:noProof/>
                <w:lang w:eastAsia="ko-KR"/>
              </w:rPr>
              <w:t>#2 Unclear how EBI is allocated for GBR QoS Flow in MA PDU Session with both 3GPP and non-3GPP accesses.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spacing w:before="80" w:after="0"/>
              <w:rPr>
                <w:rFonts w:ascii="Arial" w:hAnsi="Arial" w:cs="Arial"/>
                <w:noProof/>
                <w:lang w:eastAsia="ko-KR"/>
              </w:rPr>
            </w:pPr>
            <w:r>
              <w:rPr>
                <w:rFonts w:ascii="Arial" w:hAnsi="Arial" w:cs="Arial"/>
                <w:noProof/>
                <w:lang w:eastAsia="ko-KR"/>
              </w:rPr>
              <w:t>#1 When the UE is registered to the same PLMN over 3GPP and non-3GPP accesses, and the UE request a new MA PDU Session via non-3GPP access, the AMF should also include the indication of interworking with N26 so that the PGW-C+SMF can request EBI preparing for mobility to EPS.</w:t>
            </w:r>
          </w:p>
          <w:p>
            <w:pPr>
              <w:spacing w:before="80" w:after="0"/>
              <w:rPr>
                <w:noProof/>
                <w:lang w:eastAsia="ko-KR"/>
              </w:rPr>
            </w:pPr>
            <w:r>
              <w:rPr>
                <w:rFonts w:ascii="Arial" w:hAnsi="Arial" w:cs="Arial"/>
                <w:noProof/>
                <w:lang w:eastAsia="ko-KR"/>
              </w:rPr>
              <w:t>#2 Clarify that the SMF does not request EBI allocation for GBR QoS Flow if it is only allowed over non-3GPP access.</w:t>
            </w:r>
          </w:p>
        </w:tc>
      </w:tr>
      <w:tr>
        <w:tc>
          <w:tcPr>
            <w:tcW w:w="2694" w:type="dxa"/>
            <w:gridSpan w:val="2"/>
            <w:tcBorders>
              <w:left w:val="single" w:sz="4" w:space="0" w:color="auto"/>
            </w:tcBorders>
          </w:tcPr>
          <w:p>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ko-KR"/>
              </w:rPr>
            </w:pPr>
            <w:r>
              <w:rPr>
                <w:noProof/>
                <w:lang w:eastAsia="ko-KR"/>
              </w:rPr>
              <w:t>5GS to EPS mobility with N26 for MA PDU Session will fail.</w:t>
            </w:r>
          </w:p>
          <w:p>
            <w:pPr>
              <w:pStyle w:val="CRCoverPage"/>
              <w:spacing w:before="60" w:after="0"/>
              <w:rPr>
                <w:noProof/>
                <w:lang w:eastAsia="ko-KR"/>
              </w:rPr>
            </w:pPr>
            <w:r>
              <w:rPr>
                <w:noProof/>
                <w:lang w:eastAsia="ko-KR"/>
              </w:rPr>
              <w:t>5GS to EPS mobliity with N26 for GBR QoS Flow in MA PDU Session may not work.</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5.32.7.2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Pr>
        <w:rPr>
          <w:noProof/>
        </w:rPr>
      </w:pPr>
    </w:p>
    <w:p>
      <w:pPr>
        <w:pStyle w:val="StartEndofChange"/>
        <w:rPr>
          <w:color w:val="FF0000"/>
        </w:rPr>
      </w:pPr>
      <w:r>
        <w:rPr>
          <w:rFonts w:hint="eastAsia"/>
          <w:color w:val="FF0000"/>
        </w:rPr>
        <w:t xml:space="preserve">* </w:t>
      </w:r>
      <w:r>
        <w:rPr>
          <w:color w:val="FF0000"/>
        </w:rPr>
        <w:t>* * * First</w:t>
      </w:r>
      <w:r>
        <w:rPr>
          <w:rFonts w:hint="eastAsia"/>
          <w:color w:val="FF0000"/>
        </w:rPr>
        <w:t xml:space="preserve"> </w:t>
      </w:r>
      <w:r>
        <w:rPr>
          <w:color w:val="FF0000"/>
        </w:rPr>
        <w:t xml:space="preserve">Changes * * * * </w:t>
      </w:r>
    </w:p>
    <w:p>
      <w:pPr>
        <w:pStyle w:val="4"/>
      </w:pPr>
      <w:bookmarkStart w:id="4" w:name="_Toc20204089"/>
      <w:r>
        <w:t>5.32.7.2</w:t>
      </w:r>
      <w:r>
        <w:tab/>
        <w:t>Interworking with N26 Interface</w:t>
      </w:r>
    </w:p>
    <w:p>
      <w:pPr>
        <w:rPr>
          <w:lang w:eastAsia="x-none"/>
        </w:rPr>
      </w:pPr>
      <w:r>
        <w:rPr>
          <w:lang w:eastAsia="x-none"/>
        </w:rPr>
        <w:t>Interworking with N26 interface is based on clause 5.17.2.2, with the following differences and clarifications:</w:t>
      </w:r>
    </w:p>
    <w:p>
      <w:pPr>
        <w:pStyle w:val="B1"/>
        <w:rPr>
          <w:ins w:id="5" w:author="Ericsson JG" w:date="2020-02-07T11:22:00Z"/>
        </w:rPr>
      </w:pPr>
      <w:ins w:id="6" w:author="Ericsson JG" w:date="2020-02-07T11:22:00Z">
        <w:r>
          <w:t>-</w:t>
        </w:r>
      </w:ins>
      <w:ins w:id="7" w:author="Ericsson JG" w:date="2020-02-07T11:23:00Z">
        <w:r>
          <w:tab/>
          <w:t xml:space="preserve">When the UE is registered to the same PLMN over 3GPP and non-3GPP accesses, and the UE request a new MA PDU Session via </w:t>
        </w:r>
      </w:ins>
      <w:ins w:id="8" w:author="Ericsson JG" w:date="2020-02-07T11:24:00Z">
        <w:r>
          <w:t xml:space="preserve">non-3GPP access, the AMF </w:t>
        </w:r>
      </w:ins>
      <w:ins w:id="9" w:author="Ericsson JG" w:date="2020-02-07T11:25:00Z">
        <w:del w:id="10" w:author="Myungjune@LGE_r02" w:date="2020-02-25T10:20:00Z">
          <w:r>
            <w:delText xml:space="preserve">also </w:delText>
          </w:r>
        </w:del>
      </w:ins>
      <w:ins w:id="11" w:author="Ericsson JG" w:date="2020-02-07T11:24:00Z">
        <w:r>
          <w:t>includes the indication</w:t>
        </w:r>
      </w:ins>
      <w:ins w:id="12" w:author="Ericsson JG" w:date="2020-02-07T11:25:00Z">
        <w:r>
          <w:t xml:space="preserve"> of interworking with N26</w:t>
        </w:r>
      </w:ins>
      <w:ins w:id="13" w:author="Judy Gan" w:date="2020-02-10T23:14:00Z">
        <w:r>
          <w:t xml:space="preserve"> </w:t>
        </w:r>
      </w:ins>
      <w:ins w:id="14" w:author="Myungjune@LGE_r02" w:date="2020-02-25T10:20:00Z">
        <w:r>
          <w:t xml:space="preserve">and </w:t>
        </w:r>
      </w:ins>
      <w:ins w:id="15" w:author="Myungjune@LGE_r02" w:date="2020-02-25T10:22:00Z">
        <w:r>
          <w:t xml:space="preserve">the </w:t>
        </w:r>
      </w:ins>
      <w:ins w:id="16" w:author="Myungjune@LGE_r02" w:date="2020-02-25T10:20:00Z">
        <w:r>
          <w:t xml:space="preserve">indication of interworking </w:t>
        </w:r>
      </w:ins>
      <w:ins w:id="17" w:author="Myungjune@LGE_r02" w:date="2020-02-25T10:21:00Z">
        <w:r>
          <w:rPr>
            <w:rFonts w:hint="eastAsia"/>
          </w:rPr>
          <w:t xml:space="preserve">with non-3GPP access </w:t>
        </w:r>
      </w:ins>
      <w:ins w:id="18" w:author="Judy Gan" w:date="2020-02-10T23:14:00Z">
        <w:r>
          <w:t xml:space="preserve">to </w:t>
        </w:r>
      </w:ins>
      <w:ins w:id="19" w:author="Myungjune@LGE_r02" w:date="2020-02-25T10:22:00Z">
        <w:r>
          <w:t xml:space="preserve">the </w:t>
        </w:r>
      </w:ins>
      <w:bookmarkStart w:id="20" w:name="_GoBack"/>
      <w:bookmarkEnd w:id="20"/>
      <w:ins w:id="21" w:author="Judy Gan" w:date="2020-02-10T23:14:00Z">
        <w:r>
          <w:t>SMF</w:t>
        </w:r>
      </w:ins>
      <w:ins w:id="22" w:author="Ericsson JG" w:date="2020-02-07T11:25:00Z">
        <w:r>
          <w:t>.</w:t>
        </w:r>
      </w:ins>
    </w:p>
    <w:p>
      <w:pPr>
        <w:pStyle w:val="B1"/>
        <w:rPr>
          <w:ins w:id="23" w:author="Ericsson JG" w:date="2020-02-07T11:43:00Z"/>
        </w:rPr>
      </w:pPr>
      <w:r>
        <w:t>-</w:t>
      </w:r>
      <w:r>
        <w:tab/>
        <w:t>The SMF does not request EBI allocation when MA PDU Session is established only over non-3GPP access. If MA PDU Session is released over 3GPP access, the allocated EBI(s) for the MA PDU Session is revoked by the SMF as described in TS 23.502 [3] clause 4.11.1.4.3.</w:t>
      </w:r>
    </w:p>
    <w:p>
      <w:pPr>
        <w:pStyle w:val="B1"/>
      </w:pPr>
      <w:ins w:id="24" w:author="Ericsson JG" w:date="2020-02-07T11:43:00Z">
        <w:r>
          <w:t>-</w:t>
        </w:r>
        <w:r>
          <w:tab/>
          <w:t>The SMF do</w:t>
        </w:r>
      </w:ins>
      <w:ins w:id="25" w:author="Ericsson JG" w:date="2020-02-07T11:44:00Z">
        <w:r>
          <w:t>es not request EBI allocation for</w:t>
        </w:r>
      </w:ins>
      <w:ins w:id="26" w:author="Ericsson JG" w:date="2020-02-07T11:43:00Z">
        <w:r>
          <w:t xml:space="preserve"> GBR QoS Flow</w:t>
        </w:r>
      </w:ins>
      <w:ins w:id="27" w:author="Ericsson JG" w:date="2020-02-07T11:44:00Z">
        <w:r>
          <w:t xml:space="preserve"> if </w:t>
        </w:r>
      </w:ins>
      <w:ins w:id="28" w:author="Ericsson JG" w:date="2020-02-16T08:57:00Z">
        <w:r>
          <w:t xml:space="preserve">the GBR QoS Flow </w:t>
        </w:r>
      </w:ins>
      <w:ins w:id="29" w:author="Ericsson JG" w:date="2020-02-07T11:44:00Z">
        <w:r>
          <w:t xml:space="preserve">is </w:t>
        </w:r>
      </w:ins>
      <w:ins w:id="30" w:author="Ericsson JG" w:date="2020-02-07T11:45:00Z">
        <w:r>
          <w:t>only allowed</w:t>
        </w:r>
      </w:ins>
      <w:ins w:id="31" w:author="Ericsson JG" w:date="2020-02-07T11:44:00Z">
        <w:r>
          <w:t xml:space="preserve"> over non-3GPP acc</w:t>
        </w:r>
      </w:ins>
      <w:ins w:id="32" w:author="Ericsson JG" w:date="2020-02-07T11:45:00Z">
        <w:r>
          <w:t>ess.</w:t>
        </w:r>
      </w:ins>
      <w:ins w:id="33" w:author="Ericsson JG" w:date="2020-02-07T11:44:00Z">
        <w:r>
          <w:t xml:space="preserve"> </w:t>
        </w:r>
      </w:ins>
      <w:ins w:id="34" w:author="Ericsson JG" w:date="2020-02-07T11:43:00Z">
        <w:r>
          <w:t xml:space="preserve"> </w:t>
        </w:r>
      </w:ins>
    </w:p>
    <w:p>
      <w:pPr>
        <w:pStyle w:val="B1"/>
      </w:pPr>
      <w:r>
        <w:t>-</w:t>
      </w:r>
      <w:r>
        <w:tab/>
        <w:t>When UE moves from 5GS to EPS, for both idle mode and connected mode mobility, if the MA PDU Session is moved to EPS as a PDN connection, the SMF triggers PDU Session Release procedure to release the MA PDU Session over Non-3GPP access in 5GS. UE and SMF remove ATSSS related contexts e.g. ATSSS rules, Measurement Assistance Information.</w:t>
      </w:r>
    </w:p>
    <w:p>
      <w:pPr>
        <w:pStyle w:val="B1"/>
      </w:pPr>
      <w:r>
        <w:t>-</w:t>
      </w:r>
      <w:r>
        <w:tab/>
        <w:t>When UE moves from 5GS to EPS, for both idle mode and connected mode mobility, if the MA PDU Session is not moved to EPS as a PDN connection, the 3GPP access of this MA PDU session becomes unavailable and the AMF notifies the SMF. In turn, the SMF may decide to move the traffic to Non-3GPP access of the MA PDU session, if it is available. When UE moves back from EPS to 5GS, after the UE is registered over the 3GPP, the UE may add user-plane resources over the 3GPP access to the MA PDU session by triggering PDU Session Establishment procedure as specified in clause 5.32.2.</w:t>
      </w:r>
    </w:p>
    <w:p>
      <w:pPr>
        <w:pStyle w:val="B1"/>
      </w:pPr>
      <w:r>
        <w:t>-</w:t>
      </w:r>
      <w:r>
        <w:tab/>
        <w:t>After UE moves from EPS to 5GS, for both idle mode and connected mode mobility, if the UE requires MA PDU session, or if no policy in the UE (e.g. no URSP rule) and no local restrictions mandate a single access for the PDU Session, UE triggers the PDU Session Modification procedure as described in clause 4.22.6.3 in TS 23.502 [3] to provide the ATSSS Capability to PGW-C+SMF. The PGW-C+SMF may determine whether to modify this PDU Session to a MA PDU Session in 5GS, e.g. based on PGW-C+SMF and UE's ATSSS Capability, subscription data and local policy. If dynamic PCC is to be used for the MA PDU Session, the PCF decides whether the MA PDU session is allowed or not based on operator policy and subscription data. If the MA PDU Session is allowed, the SMF provides ATSSS rule(s) and Measurement Assistance Information to the UE. If the UE receives ATSSS rules and is not registered to non-3GPP access, the UE establishes the second user-plane over non-3GPP access after the UE is registered to non-3GPP access. If UE was registered to non-3GPP access in 5GS, the UP resources over non-3GPP access are also established by the SMF using the PDU Session Modification procedure.</w:t>
      </w:r>
    </w:p>
    <w:p/>
    <w:bookmarkEnd w:id="4"/>
    <w:p>
      <w:pPr>
        <w:pStyle w:val="StartEndofChange"/>
        <w:rPr>
          <w:color w:val="FF0000"/>
        </w:rPr>
      </w:pPr>
      <w:r>
        <w:rPr>
          <w:rFonts w:hint="eastAsia"/>
          <w:color w:val="FF0000"/>
        </w:rPr>
        <w:t xml:space="preserve">* </w:t>
      </w:r>
      <w:r>
        <w:rPr>
          <w:color w:val="FF0000"/>
        </w:rPr>
        <w:t xml:space="preserve">* * * </w:t>
      </w:r>
      <w:r>
        <w:rPr>
          <w:rFonts w:hint="eastAsia"/>
          <w:color w:val="FF0000"/>
        </w:rPr>
        <w:t xml:space="preserve">End of </w:t>
      </w:r>
      <w:r>
        <w:rPr>
          <w:color w:val="FF0000"/>
        </w:rPr>
        <w:t>Change</w:t>
      </w:r>
      <w:r>
        <w:rPr>
          <w:rFonts w:hint="eastAsia"/>
          <w:color w:val="FF0000"/>
        </w:rPr>
        <w:t>s</w:t>
      </w:r>
      <w:r>
        <w:rPr>
          <w:color w:val="FF0000"/>
        </w:rPr>
        <w:t xml:space="preserve"> * * * *</w:t>
      </w:r>
    </w:p>
    <w:p>
      <w:pPr>
        <w:rPr>
          <w:noProof/>
          <w:lang w:eastAsia="ko-KR"/>
        </w:rPr>
      </w:pPr>
    </w:p>
    <w:sectPr>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45pt;height:15.45pt" o:bullet="t">
        <v:imagedata r:id="rId1" o:title="art7234"/>
      </v:shape>
    </w:pict>
  </w:numPicBullet>
  <w:numPicBullet w:numPicBulletId="1">
    <w:pict>
      <v:shape id="_x0000_i1037" type="#_x0000_t75" style="width:15.45pt;height:15.4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맑은 고딕"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2">
    <w15:presenceInfo w15:providerId="None" w15:userId="Myungjune@LGE_r02"/>
  </w15:person>
  <w15:person w15:author="Ericsson JG">
    <w15:presenceInfo w15:providerId="None" w15:userId="Ericsson JG"/>
  </w15:person>
  <w15:person w15:author="Judy Gan">
    <w15:presenceInfo w15:providerId="None" w15:userId="Judy G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af1">
    <w:name w:val="Table Grid"/>
    <w:basedOn w:val="a1"/>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3Char">
    <w:name w:val="제목 3 Char"/>
    <w:link w:val="3"/>
    <w:rPr>
      <w:rFonts w:ascii="Arial" w:hAnsi="Arial"/>
      <w:sz w:val="28"/>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2">
    <w:name w:val="List Paragraph"/>
    <w:basedOn w:val="a"/>
    <w:uiPriority w:val="34"/>
    <w:qFormat/>
    <w:pPr>
      <w:ind w:leftChars="400" w:left="800"/>
    </w:pPr>
  </w:style>
  <w:style w:type="paragraph" w:styleId="af3">
    <w:name w:val="caption"/>
    <w:basedOn w:val="a"/>
    <w:next w:val="a"/>
    <w:unhideWhenUsed/>
    <w:qFormat/>
    <w:rPr>
      <w:b/>
      <w:bCs/>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Pr>
      <w:rFonts w:ascii="Arial" w:eastAsia="Times New Roman" w:hAnsi="Arial"/>
      <w:spacing w:val="2"/>
      <w:lang w:val="en-US" w:eastAsia="en-US"/>
    </w:rPr>
  </w:style>
  <w:style w:type="paragraph" w:styleId="af4">
    <w:name w:val="Body Text"/>
    <w:basedOn w:val="a"/>
    <w:link w:val="Char2"/>
    <w:semiHidden/>
    <w:unhideWhenUsed/>
    <w:pPr>
      <w:spacing w:after="120"/>
    </w:pPr>
  </w:style>
  <w:style w:type="character" w:customStyle="1" w:styleId="Char2">
    <w:name w:val="본문 Char"/>
    <w:basedOn w:val="a0"/>
    <w:link w:val="af4"/>
    <w:semiHidden/>
    <w:rPr>
      <w:rFonts w:ascii="Times New Roman" w:hAnsi="Times New Roman"/>
      <w:lang w:val="en-GB" w:eastAsia="en-US"/>
    </w:rPr>
  </w:style>
  <w:style w:type="paragraph" w:styleId="af5">
    <w:name w:val="Revision"/>
    <w:hidden/>
    <w:uiPriority w:val="99"/>
    <w:semiHidden/>
    <w:rPr>
      <w:rFonts w:ascii="Times New Roman" w:hAnsi="Times New Roman"/>
      <w:lang w:val="en-GB" w:eastAsia="en-US"/>
    </w:rPr>
  </w:style>
  <w:style w:type="character" w:customStyle="1" w:styleId="1Char">
    <w:name w:val="제목 1 Char"/>
    <w:link w:val="1"/>
    <w:rPr>
      <w:rFonts w:ascii="Arial" w:hAnsi="Arial"/>
      <w:sz w:val="36"/>
      <w:lang w:val="en-GB" w:eastAsia="en-US"/>
    </w:rPr>
  </w:style>
  <w:style w:type="character" w:customStyle="1" w:styleId="2Char">
    <w:name w:val="제목 2 Char"/>
    <w:link w:val="2"/>
    <w:rPr>
      <w:rFonts w:ascii="Arial" w:hAnsi="Arial"/>
      <w:sz w:val="32"/>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9Char">
    <w:name w:val="제목 9 Char"/>
    <w:link w:val="9"/>
    <w:rPr>
      <w:rFonts w:ascii="Arial" w:hAnsi="Arial"/>
      <w:sz w:val="36"/>
      <w:lang w:val="en-GB" w:eastAsia="en-US"/>
    </w:rPr>
  </w:style>
  <w:style w:type="character" w:customStyle="1" w:styleId="Char">
    <w:name w:val="머리글 Char"/>
    <w:link w:val="a4"/>
    <w:rPr>
      <w:rFonts w:ascii="Arial" w:hAnsi="Arial"/>
      <w:b/>
      <w:noProof/>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styleId="af6">
    <w:name w:val="Normal (Web)"/>
    <w:basedOn w:val="a"/>
    <w:uiPriority w:val="99"/>
    <w:unhideWhenUsed/>
    <w:pPr>
      <w:spacing w:before="100" w:beforeAutospacing="1" w:after="100" w:afterAutospacing="1"/>
    </w:pPr>
    <w:rPr>
      <w:rFonts w:eastAsia="Times New Roman"/>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Pr>
      <w:color w:val="808080"/>
      <w:shd w:val="clear" w:color="auto" w:fill="E6E6E6"/>
    </w:rPr>
  </w:style>
  <w:style w:type="character" w:customStyle="1" w:styleId="Char1">
    <w:name w:val="풍선 도움말 텍스트 Char"/>
    <w:basedOn w:val="a0"/>
    <w:link w:val="ae"/>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E3EB135E-537C-4492-8F5C-76ED0F1F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824</Words>
  <Characters>4701</Characters>
  <Application>Microsoft Office Word</Application>
  <DocSecurity>0</DocSecurity>
  <Lines>39</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Myungjune@LGE_r02</cp:lastModifiedBy>
  <cp:revision>3</cp:revision>
  <cp:lastPrinted>1900-01-01T05:00:00Z</cp:lastPrinted>
  <dcterms:created xsi:type="dcterms:W3CDTF">2020-02-25T01:20:00Z</dcterms:created>
  <dcterms:modified xsi:type="dcterms:W3CDTF">2020-02-25T01:22:00Z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