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17" w:rsidRDefault="007F55D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#96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 xml:space="preserve">-e 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ab/>
        <w:t>S1-21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:rsidR="00821417" w:rsidRDefault="00223901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467392" w:rsidRPr="00467392">
        <w:rPr>
          <w:rFonts w:ascii="Arial" w:eastAsia="MS Mincho" w:hAnsi="Arial" w:cs="Arial"/>
          <w:b/>
          <w:sz w:val="24"/>
          <w:szCs w:val="24"/>
          <w:lang w:eastAsia="ja-JP"/>
        </w:rPr>
        <w:t>08-18 Nov 2021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S1-21</w:t>
      </w:r>
      <w:r w:rsidR="007F55DE">
        <w:rPr>
          <w:rFonts w:ascii="Arial" w:eastAsia="MS Mincho" w:hAnsi="Arial" w:cs="Arial"/>
          <w:i/>
          <w:sz w:val="24"/>
          <w:szCs w:val="24"/>
          <w:lang w:eastAsia="ja-JP"/>
        </w:rPr>
        <w:t>xxxx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:rsidR="00821417" w:rsidRDefault="00821417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467392">
        <w:rPr>
          <w:rFonts w:ascii="Arial" w:hAnsi="Arial" w:cs="Arial" w:hint="eastAsia"/>
          <w:b/>
          <w:bCs/>
          <w:lang w:val="en-US" w:eastAsia="zh-CN"/>
        </w:rPr>
        <w:t>Huawei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</w:r>
      <w:r w:rsidR="008E7E08">
        <w:rPr>
          <w:rFonts w:ascii="Arial" w:hAnsi="Arial" w:cs="Arial"/>
          <w:b/>
          <w:bCs/>
        </w:rPr>
        <w:t xml:space="preserve">FS_TACMM </w:t>
      </w:r>
      <w:r w:rsidR="00E04314">
        <w:rPr>
          <w:rFonts w:ascii="Arial" w:hAnsi="Arial" w:cs="Arial"/>
          <w:b/>
          <w:bCs/>
        </w:rPr>
        <w:t>resolving the ENs in clause 5.1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TR</w:t>
      </w:r>
      <w:r w:rsidR="004673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22.847</w:t>
      </w:r>
      <w:r w:rsidR="007F55DE">
        <w:rPr>
          <w:rFonts w:ascii="Arial" w:hAnsi="Arial" w:cs="Arial"/>
          <w:b/>
          <w:bCs/>
        </w:rPr>
        <w:t xml:space="preserve"> </w:t>
      </w:r>
      <w:r w:rsidR="007F55DE" w:rsidRPr="007F55DE">
        <w:rPr>
          <w:rFonts w:ascii="Arial" w:hAnsi="Arial" w:cs="Arial"/>
          <w:b/>
          <w:bCs/>
        </w:rPr>
        <w:t>V18.0.0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6A4379">
        <w:rPr>
          <w:rFonts w:ascii="Arial" w:hAnsi="Arial" w:cs="Arial"/>
          <w:b/>
          <w:bCs/>
        </w:rPr>
        <w:t>7.11.1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467392">
        <w:rPr>
          <w:rFonts w:ascii="Arial" w:hAnsi="Arial" w:cs="Arial"/>
          <w:b/>
          <w:bCs/>
        </w:rPr>
        <w:t>Alice Li</w:t>
      </w:r>
      <w:r>
        <w:rPr>
          <w:rFonts w:ascii="Arial" w:hAnsi="Arial" w:cs="Arial" w:hint="eastAsia"/>
          <w:b/>
          <w:bCs/>
          <w:lang w:eastAsia="zh-CN"/>
        </w:rPr>
        <w:t>,</w:t>
      </w:r>
      <w:r>
        <w:rPr>
          <w:rFonts w:ascii="Arial" w:hAnsi="Arial" w:cs="Arial"/>
          <w:b/>
          <w:bCs/>
        </w:rPr>
        <w:t xml:space="preserve"> </w:t>
      </w:r>
      <w:r w:rsidR="00467392">
        <w:rPr>
          <w:rFonts w:ascii="Arial" w:hAnsi="Arial" w:cs="Arial"/>
          <w:b/>
          <w:bCs/>
        </w:rPr>
        <w:t>alice.li1</w:t>
      </w:r>
      <w:r>
        <w:rPr>
          <w:rFonts w:ascii="Arial" w:hAnsi="Arial" w:cs="Arial"/>
          <w:b/>
          <w:bCs/>
        </w:rPr>
        <w:t>@</w:t>
      </w:r>
      <w:r w:rsidR="00467392">
        <w:rPr>
          <w:rFonts w:ascii="Arial" w:hAnsi="Arial" w:cs="Arial"/>
          <w:b/>
          <w:bCs/>
        </w:rPr>
        <w:t>huawei</w:t>
      </w:r>
      <w:r>
        <w:rPr>
          <w:rFonts w:ascii="Arial" w:hAnsi="Arial" w:cs="Arial"/>
          <w:b/>
          <w:bCs/>
        </w:rPr>
        <w:t>.com</w:t>
      </w:r>
    </w:p>
    <w:p w:rsidR="00821417" w:rsidRDefault="00821417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821417" w:rsidRDefault="00223901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467392">
        <w:rPr>
          <w:rFonts w:ascii="Arial" w:eastAsia="Calibri" w:hAnsi="Arial" w:cs="Arial"/>
          <w:i/>
          <w:sz w:val="22"/>
          <w:szCs w:val="22"/>
        </w:rPr>
        <w:t xml:space="preserve">There are </w:t>
      </w:r>
      <w:r w:rsidR="00E04314">
        <w:rPr>
          <w:rFonts w:ascii="Arial" w:eastAsia="Calibri" w:hAnsi="Arial" w:cs="Arial"/>
          <w:i/>
          <w:sz w:val="22"/>
          <w:szCs w:val="22"/>
        </w:rPr>
        <w:t>several editor’s notes in clause 5.1 “</w:t>
      </w:r>
      <w:r w:rsidR="00E04314" w:rsidRPr="00E04314">
        <w:rPr>
          <w:rFonts w:ascii="Arial" w:eastAsia="Calibri" w:hAnsi="Arial" w:cs="Arial"/>
          <w:i/>
          <w:sz w:val="22"/>
          <w:szCs w:val="22"/>
        </w:rPr>
        <w:t>Immersive multi-modal Virtual Reality (VR) application</w:t>
      </w:r>
      <w:r w:rsidR="00E04314">
        <w:rPr>
          <w:rFonts w:ascii="Arial" w:eastAsia="Calibri" w:hAnsi="Arial" w:cs="Arial"/>
          <w:i/>
          <w:sz w:val="22"/>
          <w:szCs w:val="22"/>
        </w:rPr>
        <w:t>”</w:t>
      </w:r>
      <w:r w:rsidR="007F55DE">
        <w:rPr>
          <w:rFonts w:ascii="Arial" w:eastAsia="Calibri" w:hAnsi="Arial" w:cs="Arial"/>
          <w:i/>
          <w:sz w:val="22"/>
          <w:szCs w:val="22"/>
        </w:rPr>
        <w:t>.</w:t>
      </w:r>
      <w:r w:rsidR="00E04314">
        <w:rPr>
          <w:rFonts w:ascii="Arial" w:eastAsia="Calibri" w:hAnsi="Arial" w:cs="Arial"/>
          <w:i/>
          <w:sz w:val="22"/>
          <w:szCs w:val="22"/>
        </w:rPr>
        <w:t xml:space="preserve"> This document discusses the remaining issues and proposes the way forward to resolve these ENs.</w:t>
      </w:r>
    </w:p>
    <w:p w:rsidR="00821417" w:rsidRDefault="007F55DE">
      <w:pPr>
        <w:pStyle w:val="CRCoverPage"/>
        <w:rPr>
          <w:b/>
          <w:lang w:val="en-US"/>
        </w:rPr>
      </w:pPr>
      <w:r>
        <w:rPr>
          <w:b/>
          <w:lang w:val="en-US"/>
        </w:rPr>
        <w:t>Discussion</w:t>
      </w:r>
    </w:p>
    <w:p w:rsidR="00821417" w:rsidRDefault="00E04314">
      <w:pPr>
        <w:rPr>
          <w:lang w:val="en-US"/>
        </w:rPr>
      </w:pPr>
      <w:r w:rsidRPr="00E04314">
        <w:rPr>
          <w:lang w:val="en-US"/>
        </w:rPr>
        <w:t>There are several editor’s notes in clause 5.1 “Immersive multi-modal Virtual Reality (VR</w:t>
      </w:r>
      <w:r>
        <w:rPr>
          <w:lang w:val="en-US"/>
        </w:rPr>
        <w:t>) application”</w:t>
      </w:r>
      <w:r w:rsidR="00AD3E86">
        <w:rPr>
          <w:lang w:val="en-US"/>
        </w:rPr>
        <w:t xml:space="preserve">. </w:t>
      </w:r>
    </w:p>
    <w:p w:rsidR="00A9379D" w:rsidRPr="00084579" w:rsidRDefault="00E04314">
      <w:pPr>
        <w:rPr>
          <w:u w:val="single"/>
          <w:lang w:eastAsia="zh-CN"/>
        </w:rPr>
      </w:pPr>
      <w:r w:rsidRPr="00E04314">
        <w:rPr>
          <w:u w:val="single"/>
          <w:lang w:val="en-US"/>
        </w:rPr>
        <w:t>Service Area</w:t>
      </w:r>
    </w:p>
    <w:p w:rsidR="00E04314" w:rsidRDefault="00E04314" w:rsidP="00E0431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service area for the immersive multi-modal VR application is set as “s</w:t>
      </w:r>
      <w:r w:rsidRPr="00E04314">
        <w:rPr>
          <w:rFonts w:eastAsia="SimSun"/>
          <w:lang w:eastAsia="zh-CN"/>
        </w:rPr>
        <w:t>everal km</w:t>
      </w:r>
      <w:r w:rsidRPr="00E04314">
        <w:rPr>
          <w:rFonts w:eastAsia="SimSun"/>
          <w:vertAlign w:val="superscript"/>
          <w:lang w:eastAsia="zh-CN"/>
        </w:rPr>
        <w:t>2</w:t>
      </w:r>
      <w:r>
        <w:rPr>
          <w:rFonts w:eastAsia="SimSun"/>
          <w:lang w:eastAsia="zh-CN"/>
        </w:rPr>
        <w:t>” with a note:</w:t>
      </w:r>
    </w:p>
    <w:p w:rsidR="00E04314" w:rsidRPr="00E04314" w:rsidRDefault="00E04314" w:rsidP="00E04314">
      <w:pPr>
        <w:rPr>
          <w:rFonts w:eastAsia="SimSun"/>
          <w:i/>
          <w:lang w:eastAsia="zh-CN"/>
        </w:rPr>
      </w:pPr>
      <w:r w:rsidRPr="00E04314">
        <w:rPr>
          <w:rFonts w:eastAsia="SimSun"/>
          <w:i/>
          <w:lang w:eastAsia="zh-CN"/>
        </w:rPr>
        <w:t>NOTE 3:</w:t>
      </w:r>
      <w:r w:rsidRPr="00E04314">
        <w:rPr>
          <w:rFonts w:eastAsia="SimSun"/>
          <w:i/>
          <w:lang w:eastAsia="zh-CN"/>
        </w:rPr>
        <w:tab/>
        <w:t>In practice, the service area can vary depends on the actual deployment. In some cases a local approach (e.g. the application servers are hosted at the network edge) is preferred in order to satisfy the requirements of low latency and high reliability.</w:t>
      </w:r>
    </w:p>
    <w:p w:rsidR="00E04314" w:rsidRPr="00E04314" w:rsidRDefault="00F8633C" w:rsidP="00E0431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Considering the end-to-end latency requirement of one way &lt; 5ms, it is suggested to update the service area to “</w:t>
      </w:r>
      <w:r w:rsidR="00762D0F">
        <w:rPr>
          <w:rFonts w:eastAsia="SimSun"/>
          <w:lang w:eastAsia="zh-CN"/>
        </w:rPr>
        <w:t xml:space="preserve">typically </w:t>
      </w:r>
      <w:r>
        <w:rPr>
          <w:rFonts w:eastAsia="SimSun"/>
          <w:lang w:eastAsia="zh-CN"/>
        </w:rPr>
        <w:t xml:space="preserve">&lt; 100 </w:t>
      </w:r>
      <w:r w:rsidRPr="00E04314">
        <w:rPr>
          <w:rFonts w:eastAsia="SimSun"/>
          <w:lang w:eastAsia="zh-CN"/>
        </w:rPr>
        <w:t>km</w:t>
      </w:r>
      <w:r w:rsidRPr="00E04314">
        <w:rPr>
          <w:rFonts w:eastAsia="SimSun"/>
          <w:vertAlign w:val="superscript"/>
          <w:lang w:eastAsia="zh-CN"/>
        </w:rPr>
        <w:t>2</w:t>
      </w:r>
      <w:r>
        <w:rPr>
          <w:rFonts w:eastAsia="SimSun"/>
          <w:lang w:eastAsia="zh-CN"/>
        </w:rPr>
        <w:t>”</w:t>
      </w:r>
    </w:p>
    <w:p w:rsidR="00A21AEC" w:rsidRDefault="00A21AEC" w:rsidP="00A21AEC">
      <w:pPr>
        <w:rPr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</w:t>
      </w:r>
      <w:r w:rsidR="00762D0F">
        <w:rPr>
          <w:rFonts w:eastAsia="SimSun"/>
          <w:b/>
          <w:lang w:eastAsia="zh-CN"/>
        </w:rPr>
        <w:t xml:space="preserve"> 1</w:t>
      </w:r>
      <w:r w:rsidRPr="00A21AEC">
        <w:rPr>
          <w:rFonts w:eastAsia="SimSun"/>
          <w:b/>
          <w:lang w:eastAsia="zh-CN"/>
        </w:rPr>
        <w:t>:</w:t>
      </w:r>
      <w:r w:rsidR="00C25F0D">
        <w:rPr>
          <w:rFonts w:eastAsia="SimSun"/>
          <w:b/>
          <w:lang w:eastAsia="zh-CN"/>
        </w:rPr>
        <w:t xml:space="preserve"> To </w:t>
      </w:r>
      <w:r w:rsidR="00762D0F">
        <w:rPr>
          <w:rFonts w:eastAsia="SimSun"/>
          <w:b/>
          <w:lang w:eastAsia="zh-CN"/>
        </w:rPr>
        <w:t xml:space="preserve">update the </w:t>
      </w:r>
      <w:r w:rsidR="00762D0F" w:rsidRPr="00762D0F">
        <w:rPr>
          <w:rFonts w:eastAsia="SimSun"/>
          <w:b/>
          <w:lang w:eastAsia="zh-CN"/>
        </w:rPr>
        <w:t xml:space="preserve">service area </w:t>
      </w:r>
      <w:r w:rsidR="00762D0F">
        <w:rPr>
          <w:rFonts w:eastAsia="SimSun"/>
          <w:b/>
          <w:lang w:eastAsia="zh-CN"/>
        </w:rPr>
        <w:t>as</w:t>
      </w:r>
      <w:r w:rsidR="00762D0F" w:rsidRPr="00762D0F">
        <w:rPr>
          <w:rFonts w:eastAsia="SimSun"/>
          <w:b/>
          <w:lang w:eastAsia="zh-CN"/>
        </w:rPr>
        <w:t xml:space="preserve"> “typically &lt; 100 km</w:t>
      </w:r>
      <w:r w:rsidR="00762D0F" w:rsidRPr="00762D0F">
        <w:rPr>
          <w:rFonts w:eastAsia="SimSun"/>
          <w:b/>
          <w:vertAlign w:val="superscript"/>
          <w:lang w:eastAsia="zh-CN"/>
        </w:rPr>
        <w:t>2</w:t>
      </w:r>
      <w:r w:rsidR="00762D0F" w:rsidRPr="00762D0F">
        <w:rPr>
          <w:rFonts w:eastAsia="SimSun"/>
          <w:b/>
          <w:lang w:eastAsia="zh-CN"/>
        </w:rPr>
        <w:t>”</w:t>
      </w:r>
      <w:r w:rsidR="00C25F0D">
        <w:rPr>
          <w:rFonts w:eastAsia="SimSun"/>
          <w:b/>
          <w:lang w:eastAsia="zh-CN"/>
        </w:rPr>
        <w:t>.</w:t>
      </w:r>
    </w:p>
    <w:p w:rsidR="00762D0F" w:rsidRPr="00762D0F" w:rsidRDefault="00762D0F" w:rsidP="00A21AEC">
      <w:pPr>
        <w:rPr>
          <w:rFonts w:eastAsia="SimSun"/>
          <w:u w:val="single"/>
          <w:lang w:eastAsia="zh-CN"/>
        </w:rPr>
      </w:pPr>
      <w:r w:rsidRPr="00762D0F">
        <w:rPr>
          <w:rFonts w:eastAsia="SimSun"/>
          <w:u w:val="single"/>
          <w:lang w:eastAsia="zh-CN"/>
        </w:rPr>
        <w:t>Requirements related to “synchronization threshold”</w:t>
      </w:r>
    </w:p>
    <w:p w:rsidR="00762D0F" w:rsidRDefault="00762D0F" w:rsidP="00A21AE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There are a couple of ENs related to the </w:t>
      </w:r>
      <w:r w:rsidRPr="00762D0F">
        <w:rPr>
          <w:rFonts w:eastAsia="SimSun"/>
          <w:lang w:eastAsia="zh-CN"/>
        </w:rPr>
        <w:t>synchronization threshold</w:t>
      </w:r>
      <w:r>
        <w:rPr>
          <w:rFonts w:eastAsia="SimSun"/>
          <w:lang w:eastAsia="zh-CN"/>
        </w:rPr>
        <w:t>. During the course of the consolidation, it seems acceptable to update the re</w:t>
      </w:r>
      <w:r w:rsidR="005E5F96">
        <w:rPr>
          <w:rFonts w:eastAsia="SimSun"/>
          <w:lang w:eastAsia="zh-CN"/>
        </w:rPr>
        <w:t>lated requirements as following.</w:t>
      </w:r>
    </w:p>
    <w:p w:rsidR="005E5F96" w:rsidRPr="005E5F96" w:rsidRDefault="005E5F96" w:rsidP="00A21AEC">
      <w:pPr>
        <w:rPr>
          <w:rFonts w:eastAsia="SimSun"/>
          <w:b/>
          <w:lang w:eastAsia="zh-CN"/>
        </w:rPr>
      </w:pPr>
      <w:r w:rsidRPr="005E5F96">
        <w:rPr>
          <w:rFonts w:eastAsia="SimSun"/>
          <w:b/>
          <w:lang w:eastAsia="zh-CN"/>
        </w:rPr>
        <w:t xml:space="preserve">Proposal 2: </w:t>
      </w:r>
    </w:p>
    <w:p w:rsidR="00762D0F" w:rsidRPr="00C92C8A" w:rsidRDefault="00762D0F" w:rsidP="00A21AEC">
      <w:pPr>
        <w:rPr>
          <w:rFonts w:eastAsia="SimSun"/>
          <w:b/>
          <w:i/>
          <w:lang w:eastAsia="zh-CN"/>
        </w:rPr>
      </w:pPr>
      <w:r w:rsidRPr="00C92C8A">
        <w:rPr>
          <w:rFonts w:eastAsia="SimSun"/>
          <w:b/>
          <w:i/>
          <w:lang w:eastAsia="zh-CN"/>
        </w:rPr>
        <w:t>Service exposure –</w:t>
      </w:r>
    </w:p>
    <w:p w:rsidR="00C92C8A" w:rsidRPr="00C92C8A" w:rsidRDefault="00C92C8A" w:rsidP="00C92C8A">
      <w:pPr>
        <w:rPr>
          <w:rFonts w:eastAsia="SimSun"/>
          <w:lang w:eastAsia="zh-CN"/>
        </w:rPr>
      </w:pPr>
      <w:r w:rsidRPr="00C92C8A">
        <w:rPr>
          <w:rFonts w:eastAsia="SimSun"/>
          <w:lang w:eastAsia="zh-CN"/>
        </w:rPr>
        <w:t>The 5G system shall support a means for an authorized 3rd party to provide 5GS with synchronization threshold(s) between the multiple flows (e.g., haptic, audio and video) associated with a multi-modal communication session.</w:t>
      </w:r>
    </w:p>
    <w:p w:rsidR="00C92C8A" w:rsidRDefault="00C92C8A" w:rsidP="00C92C8A">
      <w:pPr>
        <w:rPr>
          <w:rFonts w:eastAsia="SimSun"/>
          <w:lang w:eastAsia="zh-CN"/>
        </w:rPr>
      </w:pPr>
      <w:r w:rsidRPr="00C92C8A">
        <w:rPr>
          <w:rFonts w:eastAsia="SimSun"/>
          <w:lang w:eastAsia="zh-CN"/>
        </w:rPr>
        <w:t>The 5G system shall support a means to assist a 3rd party application to coordinate the transmission of multiple flows (e.g., haptic, audio and video) of a multi-modal communication session to enable presenting the related tactile and multi-modal data to the user within a certain time.</w:t>
      </w:r>
    </w:p>
    <w:p w:rsidR="00762D0F" w:rsidRPr="00C92C8A" w:rsidRDefault="00762D0F" w:rsidP="00A21AEC">
      <w:pPr>
        <w:rPr>
          <w:rFonts w:eastAsia="SimSun"/>
          <w:b/>
          <w:i/>
          <w:lang w:eastAsia="zh-CN"/>
        </w:rPr>
      </w:pPr>
      <w:bookmarkStart w:id="0" w:name="_GoBack"/>
      <w:r w:rsidRPr="00C92C8A">
        <w:rPr>
          <w:rFonts w:eastAsia="SimSun"/>
          <w:b/>
          <w:i/>
          <w:lang w:eastAsia="zh-CN"/>
        </w:rPr>
        <w:t>Performance KPIs –</w:t>
      </w:r>
    </w:p>
    <w:bookmarkEnd w:id="0"/>
    <w:p w:rsidR="00762D0F" w:rsidRDefault="00762D0F" w:rsidP="00762D0F">
      <w:pPr>
        <w:rPr>
          <w:rFonts w:eastAsia="SimSun"/>
          <w:lang w:eastAsia="zh-CN"/>
        </w:rPr>
      </w:pPr>
      <w:r w:rsidRPr="00A578CB">
        <w:rPr>
          <w:rFonts w:eastAsia="SimSun"/>
          <w:lang w:eastAsia="zh-CN"/>
        </w:rPr>
        <w:t>To support immersive multi-modal VR applications, the 5G system shall support the following synchronisation thresholds in order to avoid having a negative impact on the user experience (i.e. viewers detecting lack of synchronisation).</w:t>
      </w:r>
    </w:p>
    <w:p w:rsidR="00762D0F" w:rsidRPr="001B3A38" w:rsidRDefault="00C92C8A" w:rsidP="00762D0F">
      <w:pPr>
        <w:pStyle w:val="TH"/>
        <w:rPr>
          <w:rFonts w:eastAsia="SimSun"/>
          <w:lang w:eastAsia="zh-CN"/>
        </w:rPr>
      </w:pPr>
      <w:r>
        <w:rPr>
          <w:lang w:eastAsia="en-GB"/>
        </w:rPr>
        <w:t>Table</w:t>
      </w:r>
      <w:r w:rsidR="00762D0F" w:rsidRPr="002F23EF">
        <w:rPr>
          <w:lang w:eastAsia="en-GB"/>
        </w:rPr>
        <w:t xml:space="preserve">: Potential Key performance requirements for synchronization thresholds </w:t>
      </w:r>
      <w:r w:rsidR="00762D0F">
        <w:rPr>
          <w:lang w:eastAsia="en-GB"/>
        </w:rPr>
        <w:t>for i</w:t>
      </w:r>
      <w:r w:rsidR="00762D0F" w:rsidRPr="00A6510D">
        <w:rPr>
          <w:lang w:eastAsia="en-GB"/>
        </w:rPr>
        <w:t xml:space="preserve">mmersive </w:t>
      </w:r>
      <w:r w:rsidR="00762D0F">
        <w:rPr>
          <w:lang w:eastAsia="en-GB"/>
        </w:rPr>
        <w:t>m</w:t>
      </w:r>
      <w:r w:rsidR="00762D0F" w:rsidRPr="00A6510D">
        <w:rPr>
          <w:lang w:eastAsia="en-GB"/>
        </w:rPr>
        <w:t>ulti-</w:t>
      </w:r>
      <w:r w:rsidR="00762D0F">
        <w:rPr>
          <w:lang w:eastAsia="en-GB"/>
        </w:rPr>
        <w:t>m</w:t>
      </w:r>
      <w:r w:rsidR="00762D0F" w:rsidRPr="00A6510D">
        <w:rPr>
          <w:lang w:eastAsia="en-GB"/>
        </w:rPr>
        <w:t>odal VR application</w:t>
      </w:r>
      <w:r w:rsidR="00762D0F">
        <w:rPr>
          <w:lang w:eastAsia="en-GB"/>
        </w:rPr>
        <w:t>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835"/>
      </w:tblGrid>
      <w:tr w:rsidR="00762D0F" w:rsidRPr="00A578CB" w:rsidTr="00572076">
        <w:tc>
          <w:tcPr>
            <w:tcW w:w="2410" w:type="dxa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b/>
                <w:lang w:val="en-US" w:eastAsia="zh-CN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b/>
                <w:lang w:val="en-US" w:eastAsia="zh-CN"/>
              </w:rPr>
            </w:pPr>
            <w:r w:rsidRPr="00A578CB">
              <w:rPr>
                <w:rFonts w:eastAsia="仿宋"/>
                <w:b/>
                <w:lang w:val="en-US" w:eastAsia="zh-CN"/>
              </w:rPr>
              <w:t>synchronisation threshold</w:t>
            </w:r>
          </w:p>
        </w:tc>
      </w:tr>
      <w:tr w:rsidR="00762D0F" w:rsidRPr="00A578CB" w:rsidTr="00572076">
        <w:tc>
          <w:tcPr>
            <w:tcW w:w="2410" w:type="dxa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b/>
                <w:lang w:val="en-US" w:eastAsia="zh-CN"/>
              </w:rPr>
            </w:pPr>
            <w:r w:rsidRPr="00A578CB">
              <w:rPr>
                <w:rFonts w:eastAsia="仿宋"/>
                <w:b/>
                <w:lang w:val="en-US" w:eastAsia="zh-CN"/>
              </w:rPr>
              <w:t>audio-tactile</w:t>
            </w:r>
          </w:p>
        </w:tc>
        <w:tc>
          <w:tcPr>
            <w:tcW w:w="2693" w:type="dxa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t>audio delay:</w:t>
            </w:r>
          </w:p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t>[50 ms]</w:t>
            </w:r>
          </w:p>
        </w:tc>
        <w:tc>
          <w:tcPr>
            <w:tcW w:w="2835" w:type="dxa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t>tactile delay:</w:t>
            </w:r>
          </w:p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t>[25 ms]</w:t>
            </w:r>
          </w:p>
        </w:tc>
      </w:tr>
      <w:tr w:rsidR="00762D0F" w:rsidRPr="00A578CB" w:rsidTr="00572076">
        <w:tc>
          <w:tcPr>
            <w:tcW w:w="2410" w:type="dxa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b/>
                <w:lang w:val="en-US" w:eastAsia="zh-CN"/>
              </w:rPr>
            </w:pPr>
            <w:r w:rsidRPr="00A578CB">
              <w:rPr>
                <w:rFonts w:eastAsia="仿宋"/>
                <w:b/>
                <w:lang w:val="en-US" w:eastAsia="zh-CN"/>
              </w:rPr>
              <w:t>visual-tactile</w:t>
            </w:r>
          </w:p>
        </w:tc>
        <w:tc>
          <w:tcPr>
            <w:tcW w:w="2693" w:type="dxa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t>visual delay:</w:t>
            </w:r>
          </w:p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lastRenderedPageBreak/>
              <w:t>[15 ms]</w:t>
            </w:r>
          </w:p>
        </w:tc>
        <w:tc>
          <w:tcPr>
            <w:tcW w:w="2835" w:type="dxa"/>
            <w:shd w:val="clear" w:color="auto" w:fill="auto"/>
          </w:tcPr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lastRenderedPageBreak/>
              <w:t>tactile delay:</w:t>
            </w:r>
          </w:p>
          <w:p w:rsidR="00762D0F" w:rsidRPr="00A578CB" w:rsidRDefault="00762D0F" w:rsidP="00572076">
            <w:pPr>
              <w:adjustRightInd w:val="0"/>
              <w:snapToGrid w:val="0"/>
              <w:spacing w:after="0"/>
              <w:rPr>
                <w:rFonts w:eastAsia="仿宋"/>
                <w:lang w:val="en-US" w:eastAsia="zh-CN"/>
              </w:rPr>
            </w:pPr>
            <w:r w:rsidRPr="00A578CB">
              <w:rPr>
                <w:rFonts w:eastAsia="仿宋"/>
                <w:lang w:val="en-US" w:eastAsia="zh-CN"/>
              </w:rPr>
              <w:lastRenderedPageBreak/>
              <w:t>[50 ms]</w:t>
            </w:r>
          </w:p>
        </w:tc>
      </w:tr>
    </w:tbl>
    <w:p w:rsidR="00762D0F" w:rsidRDefault="00762D0F" w:rsidP="00A21AEC">
      <w:pPr>
        <w:rPr>
          <w:rFonts w:eastAsia="SimSun"/>
          <w:lang w:eastAsia="zh-CN"/>
        </w:rPr>
      </w:pPr>
    </w:p>
    <w:p w:rsidR="00C25F0D" w:rsidRPr="00C25F0D" w:rsidRDefault="00C25F0D" w:rsidP="00A21AE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A CR is provided to update the TR accordingly.</w:t>
      </w:r>
    </w:p>
    <w:p w:rsidR="005C6A1E" w:rsidRDefault="005C6A1E" w:rsidP="00467392">
      <w:pPr>
        <w:keepNext/>
        <w:keepLines/>
        <w:spacing w:before="180"/>
        <w:ind w:left="1134" w:hanging="1134"/>
        <w:outlineLvl w:val="1"/>
        <w:rPr>
          <w:rFonts w:ascii="Arial" w:hAnsi="Arial" w:cs="Arial"/>
          <w:color w:val="0000FF"/>
          <w:sz w:val="28"/>
          <w:szCs w:val="28"/>
          <w:lang w:val="en-US"/>
        </w:rPr>
      </w:pPr>
    </w:p>
    <w:sectPr w:rsidR="005C6A1E" w:rsidSect="00467392"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3B" w:rsidRDefault="007A593B">
      <w:pPr>
        <w:spacing w:after="0"/>
      </w:pPr>
      <w:r>
        <w:separator/>
      </w:r>
    </w:p>
  </w:endnote>
  <w:endnote w:type="continuationSeparator" w:id="0">
    <w:p w:rsidR="007A593B" w:rsidRDefault="007A5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17" w:rsidRDefault="0022390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3B" w:rsidRDefault="007A593B">
      <w:pPr>
        <w:spacing w:after="0"/>
      </w:pPr>
      <w:r>
        <w:separator/>
      </w:r>
    </w:p>
  </w:footnote>
  <w:footnote w:type="continuationSeparator" w:id="0">
    <w:p w:rsidR="007A593B" w:rsidRDefault="007A59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31F8E"/>
    <w:multiLevelType w:val="hybridMultilevel"/>
    <w:tmpl w:val="784A36EE"/>
    <w:lvl w:ilvl="0" w:tplc="2F345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84579"/>
    <w:rsid w:val="0009108F"/>
    <w:rsid w:val="0009283E"/>
    <w:rsid w:val="000C47C3"/>
    <w:rsid w:val="000D288A"/>
    <w:rsid w:val="000D58AB"/>
    <w:rsid w:val="00117C51"/>
    <w:rsid w:val="00133525"/>
    <w:rsid w:val="00146D2C"/>
    <w:rsid w:val="00157DED"/>
    <w:rsid w:val="0017446A"/>
    <w:rsid w:val="0019670D"/>
    <w:rsid w:val="001A4C42"/>
    <w:rsid w:val="001A7420"/>
    <w:rsid w:val="001A7EEA"/>
    <w:rsid w:val="001B6637"/>
    <w:rsid w:val="001C21C3"/>
    <w:rsid w:val="001C5DC3"/>
    <w:rsid w:val="001D02C2"/>
    <w:rsid w:val="001F0C1D"/>
    <w:rsid w:val="001F1132"/>
    <w:rsid w:val="001F168B"/>
    <w:rsid w:val="00214724"/>
    <w:rsid w:val="00222DD3"/>
    <w:rsid w:val="00223901"/>
    <w:rsid w:val="002347A2"/>
    <w:rsid w:val="00250CDD"/>
    <w:rsid w:val="002675F0"/>
    <w:rsid w:val="002760EE"/>
    <w:rsid w:val="002A019E"/>
    <w:rsid w:val="002B6339"/>
    <w:rsid w:val="002E00EE"/>
    <w:rsid w:val="002F77C0"/>
    <w:rsid w:val="0031394A"/>
    <w:rsid w:val="00315234"/>
    <w:rsid w:val="003172DC"/>
    <w:rsid w:val="003372DB"/>
    <w:rsid w:val="00344A90"/>
    <w:rsid w:val="00353B1E"/>
    <w:rsid w:val="0035462D"/>
    <w:rsid w:val="00356555"/>
    <w:rsid w:val="003765B8"/>
    <w:rsid w:val="003B2B21"/>
    <w:rsid w:val="003B62ED"/>
    <w:rsid w:val="003C3971"/>
    <w:rsid w:val="003D047A"/>
    <w:rsid w:val="003D14CD"/>
    <w:rsid w:val="003E0BCF"/>
    <w:rsid w:val="00423334"/>
    <w:rsid w:val="004345EC"/>
    <w:rsid w:val="00451285"/>
    <w:rsid w:val="00465515"/>
    <w:rsid w:val="00467392"/>
    <w:rsid w:val="00491725"/>
    <w:rsid w:val="0049751D"/>
    <w:rsid w:val="004B1A6E"/>
    <w:rsid w:val="004C30AC"/>
    <w:rsid w:val="004C5D74"/>
    <w:rsid w:val="004D3578"/>
    <w:rsid w:val="004E213A"/>
    <w:rsid w:val="004F0988"/>
    <w:rsid w:val="004F3340"/>
    <w:rsid w:val="0053388B"/>
    <w:rsid w:val="00535773"/>
    <w:rsid w:val="00543E6C"/>
    <w:rsid w:val="00565087"/>
    <w:rsid w:val="00572076"/>
    <w:rsid w:val="005766C4"/>
    <w:rsid w:val="00585F08"/>
    <w:rsid w:val="00597B11"/>
    <w:rsid w:val="005A5369"/>
    <w:rsid w:val="005C6A1E"/>
    <w:rsid w:val="005D2E01"/>
    <w:rsid w:val="005D7526"/>
    <w:rsid w:val="005E4BB2"/>
    <w:rsid w:val="005E5F96"/>
    <w:rsid w:val="005F4D67"/>
    <w:rsid w:val="005F788A"/>
    <w:rsid w:val="00602AEA"/>
    <w:rsid w:val="00614FDF"/>
    <w:rsid w:val="0063543D"/>
    <w:rsid w:val="00644C19"/>
    <w:rsid w:val="00647114"/>
    <w:rsid w:val="006803DD"/>
    <w:rsid w:val="00684D6E"/>
    <w:rsid w:val="006912E9"/>
    <w:rsid w:val="006A323F"/>
    <w:rsid w:val="006A4379"/>
    <w:rsid w:val="006A7270"/>
    <w:rsid w:val="006B30D0"/>
    <w:rsid w:val="006C3D95"/>
    <w:rsid w:val="006E5C86"/>
    <w:rsid w:val="006F2A36"/>
    <w:rsid w:val="00701116"/>
    <w:rsid w:val="0071174C"/>
    <w:rsid w:val="00713C44"/>
    <w:rsid w:val="00716F9A"/>
    <w:rsid w:val="00727DBB"/>
    <w:rsid w:val="00734A5B"/>
    <w:rsid w:val="0074026F"/>
    <w:rsid w:val="007429F6"/>
    <w:rsid w:val="00744E76"/>
    <w:rsid w:val="00762D0F"/>
    <w:rsid w:val="00765EA3"/>
    <w:rsid w:val="00774DA4"/>
    <w:rsid w:val="00781F0F"/>
    <w:rsid w:val="007823C2"/>
    <w:rsid w:val="007A593B"/>
    <w:rsid w:val="007B600E"/>
    <w:rsid w:val="007E258A"/>
    <w:rsid w:val="007F0F4A"/>
    <w:rsid w:val="007F55DE"/>
    <w:rsid w:val="008028A4"/>
    <w:rsid w:val="00821417"/>
    <w:rsid w:val="00830747"/>
    <w:rsid w:val="008768CA"/>
    <w:rsid w:val="008940A5"/>
    <w:rsid w:val="008C384C"/>
    <w:rsid w:val="008D05CF"/>
    <w:rsid w:val="008E2D68"/>
    <w:rsid w:val="008E6756"/>
    <w:rsid w:val="008E7E08"/>
    <w:rsid w:val="0090271F"/>
    <w:rsid w:val="00902E23"/>
    <w:rsid w:val="009114D7"/>
    <w:rsid w:val="0091348E"/>
    <w:rsid w:val="00917CCB"/>
    <w:rsid w:val="00933FB0"/>
    <w:rsid w:val="00935AB1"/>
    <w:rsid w:val="00942EC2"/>
    <w:rsid w:val="009F37B7"/>
    <w:rsid w:val="00A05396"/>
    <w:rsid w:val="00A10F02"/>
    <w:rsid w:val="00A164B4"/>
    <w:rsid w:val="00A21AEC"/>
    <w:rsid w:val="00A26956"/>
    <w:rsid w:val="00A27486"/>
    <w:rsid w:val="00A53724"/>
    <w:rsid w:val="00A56066"/>
    <w:rsid w:val="00A646E1"/>
    <w:rsid w:val="00A73129"/>
    <w:rsid w:val="00A82346"/>
    <w:rsid w:val="00A92BA1"/>
    <w:rsid w:val="00A9379D"/>
    <w:rsid w:val="00A95A32"/>
    <w:rsid w:val="00AA11D1"/>
    <w:rsid w:val="00AB4A5D"/>
    <w:rsid w:val="00AC40A3"/>
    <w:rsid w:val="00AC41F4"/>
    <w:rsid w:val="00AC6BC6"/>
    <w:rsid w:val="00AD3E86"/>
    <w:rsid w:val="00AE166B"/>
    <w:rsid w:val="00AE65E2"/>
    <w:rsid w:val="00AF1460"/>
    <w:rsid w:val="00B15449"/>
    <w:rsid w:val="00B76134"/>
    <w:rsid w:val="00B856A7"/>
    <w:rsid w:val="00B93086"/>
    <w:rsid w:val="00BA19ED"/>
    <w:rsid w:val="00BA218C"/>
    <w:rsid w:val="00BA2BAC"/>
    <w:rsid w:val="00BA4B8D"/>
    <w:rsid w:val="00BC0F7D"/>
    <w:rsid w:val="00BD7D31"/>
    <w:rsid w:val="00BE3255"/>
    <w:rsid w:val="00BE6787"/>
    <w:rsid w:val="00BF128E"/>
    <w:rsid w:val="00C074DD"/>
    <w:rsid w:val="00C1496A"/>
    <w:rsid w:val="00C25F0D"/>
    <w:rsid w:val="00C33079"/>
    <w:rsid w:val="00C36873"/>
    <w:rsid w:val="00C45231"/>
    <w:rsid w:val="00C551FF"/>
    <w:rsid w:val="00C5710C"/>
    <w:rsid w:val="00C72833"/>
    <w:rsid w:val="00C80F1D"/>
    <w:rsid w:val="00C91962"/>
    <w:rsid w:val="00C92C8A"/>
    <w:rsid w:val="00C93F40"/>
    <w:rsid w:val="00CA3D0C"/>
    <w:rsid w:val="00CA3F20"/>
    <w:rsid w:val="00D20214"/>
    <w:rsid w:val="00D56DEE"/>
    <w:rsid w:val="00D57972"/>
    <w:rsid w:val="00D675A9"/>
    <w:rsid w:val="00D738D6"/>
    <w:rsid w:val="00D755EB"/>
    <w:rsid w:val="00D76048"/>
    <w:rsid w:val="00D82E6F"/>
    <w:rsid w:val="00D87E00"/>
    <w:rsid w:val="00D9134D"/>
    <w:rsid w:val="00DA46F6"/>
    <w:rsid w:val="00DA7A03"/>
    <w:rsid w:val="00DB1818"/>
    <w:rsid w:val="00DC309B"/>
    <w:rsid w:val="00DC4DA2"/>
    <w:rsid w:val="00DD4C17"/>
    <w:rsid w:val="00DD74A5"/>
    <w:rsid w:val="00DF2B1F"/>
    <w:rsid w:val="00DF62CD"/>
    <w:rsid w:val="00E04314"/>
    <w:rsid w:val="00E16509"/>
    <w:rsid w:val="00E30C9E"/>
    <w:rsid w:val="00E40CF2"/>
    <w:rsid w:val="00E44582"/>
    <w:rsid w:val="00E77645"/>
    <w:rsid w:val="00EA15B0"/>
    <w:rsid w:val="00EA5EA7"/>
    <w:rsid w:val="00EC4A25"/>
    <w:rsid w:val="00EE6673"/>
    <w:rsid w:val="00EF608C"/>
    <w:rsid w:val="00F025A2"/>
    <w:rsid w:val="00F04712"/>
    <w:rsid w:val="00F13360"/>
    <w:rsid w:val="00F22EC7"/>
    <w:rsid w:val="00F325C8"/>
    <w:rsid w:val="00F44100"/>
    <w:rsid w:val="00F653B8"/>
    <w:rsid w:val="00F66269"/>
    <w:rsid w:val="00F8633C"/>
    <w:rsid w:val="00F9008D"/>
    <w:rsid w:val="00FA1266"/>
    <w:rsid w:val="00FC1192"/>
    <w:rsid w:val="00FE3DCA"/>
    <w:rsid w:val="0C482D1B"/>
    <w:rsid w:val="1F0B5259"/>
    <w:rsid w:val="30633D41"/>
    <w:rsid w:val="32245C46"/>
    <w:rsid w:val="3E7E5AA6"/>
    <w:rsid w:val="41A93812"/>
    <w:rsid w:val="41B1695F"/>
    <w:rsid w:val="47B50EC7"/>
    <w:rsid w:val="4D6E1515"/>
    <w:rsid w:val="501F4118"/>
    <w:rsid w:val="5C4775D5"/>
    <w:rsid w:val="669878A2"/>
    <w:rsid w:val="6FB35F05"/>
    <w:rsid w:val="7F94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DFFD01-6C73-45BA-AC66-90E37E97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Autospacing="1" w:after="0" w:afterAutospacing="1"/>
    </w:pPr>
    <w:rPr>
      <w:sz w:val="24"/>
      <w:lang w:val="en-US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99"/>
    <w:rsid w:val="00F4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95445E-1796-40C0-842F-3DF353E5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Alice Li</cp:lastModifiedBy>
  <cp:revision>4</cp:revision>
  <cp:lastPrinted>2019-02-25T14:05:00Z</cp:lastPrinted>
  <dcterms:created xsi:type="dcterms:W3CDTF">2021-10-13T13:34:00Z</dcterms:created>
  <dcterms:modified xsi:type="dcterms:W3CDTF">2021-10-13T13:38:00Z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1628692334</vt:lpwstr>
  </property>
</Properties>
</file>