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>
        <w:rPr>
          <w:b/>
          <w:sz w:val="24"/>
        </w:rPr>
        <w:t>3GPP TSG- SA WG1 Meeting #</w:t>
      </w:r>
      <w:r>
        <w:rPr>
          <w:rFonts w:hint="eastAsia"/>
          <w:b/>
          <w:sz w:val="24"/>
          <w:lang w:val="en-US" w:eastAsia="zh-CN"/>
        </w:rPr>
        <w:t>9</w:t>
      </w:r>
      <w:r>
        <w:rPr>
          <w:b/>
          <w:sz w:val="24"/>
          <w:lang w:val="en-US" w:eastAsia="zh-CN"/>
        </w:rPr>
        <w:t>4-bis-</w:t>
      </w:r>
      <w:r>
        <w:rPr>
          <w:rFonts w:hint="eastAsia"/>
          <w:b/>
          <w:sz w:val="24"/>
          <w:lang w:val="en-US" w:eastAsia="zh-CN"/>
        </w:rPr>
        <w:t>e</w:t>
      </w:r>
      <w:r>
        <w:rPr>
          <w:b/>
          <w:i/>
          <w:sz w:val="28"/>
        </w:rPr>
        <w:tab/>
      </w:r>
      <w:r>
        <w:rPr>
          <w:b/>
          <w:bCs/>
        </w:rPr>
        <w:t>S1-212032</w:t>
      </w:r>
      <w:r>
        <w:rPr>
          <w:rFonts w:hint="eastAsia"/>
          <w:b/>
          <w:bCs/>
          <w:lang w:val="en-US" w:eastAsia="zh-CN"/>
        </w:rPr>
        <w:t>r</w:t>
      </w:r>
      <w:r>
        <w:rPr>
          <w:b/>
          <w:bCs/>
          <w:lang w:val="en-US" w:eastAsia="zh-CN"/>
        </w:rPr>
        <w:t>6</w:t>
      </w:r>
    </w:p>
    <w:p>
      <w:pPr>
        <w:pStyle w:val="81"/>
        <w:outlineLvl w:val="0"/>
        <w:rPr>
          <w:b/>
          <w:sz w:val="24"/>
        </w:rPr>
      </w:pPr>
      <w:r>
        <w:rPr>
          <w:b/>
          <w:sz w:val="24"/>
          <w:lang w:val="en-US" w:eastAsia="zh-CN"/>
        </w:rPr>
        <w:t>Electronic Meeting, 5 – 9 July 2021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bCs/>
                <w:sz w:val="28"/>
              </w:rPr>
            </w:pPr>
            <w:r>
              <w:rPr>
                <w:b/>
                <w:sz w:val="28"/>
              </w:rPr>
              <w:t>22.858</w:t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</w:pPr>
            <w:r>
              <w:rPr>
                <w:rFonts w:hint="eastAsia"/>
                <w:b/>
                <w:sz w:val="28"/>
                <w:lang w:val="en-US" w:eastAsia="zh-CN"/>
              </w:rPr>
              <w:t>0005</w:t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Revision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18.0.1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tabs>
                <w:tab w:val="left" w:pos="145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24"/>
                <w:szCs w:val="24"/>
                <w:lang w:val="en-US" w:eastAsia="zh-CN"/>
              </w:rPr>
            </w:pPr>
            <w:r>
              <w:rPr>
                <w:rFonts w:ascii="Arial" w:hAnsi="Arial"/>
              </w:rPr>
              <w:t>Alignment and clarification of PR5.4.6-001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China Unicom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SA1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FS_Resident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2021-07-</w:t>
            </w:r>
            <w:r>
              <w:rPr>
                <w:lang w:val="en-US" w:eastAsia="zh-CN"/>
              </w:rPr>
              <w:t>12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rPr>
                <w:rFonts w:hint="eastAsia"/>
                <w:b/>
                <w:lang w:val="en-US" w:eastAsia="zh-CN"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/>
              </w:rPr>
              <w:t xml:space="preserve">The current TR 22.858 includes in clause 5.4 a potential requirement for the 5G system to support local data routing. </w:t>
            </w:r>
            <w:r>
              <w:rPr>
                <w:rFonts w:hint="eastAsia" w:ascii="Arial" w:hAnsi="Arial"/>
              </w:rPr>
              <w:t>However</w:t>
            </w:r>
            <w:r>
              <w:rPr>
                <w:rFonts w:hint="eastAsia" w:ascii="Arial" w:hAnsi="Arial"/>
                <w:lang w:val="en-US" w:eastAsia="zh-CN"/>
              </w:rPr>
              <w:t>, t</w:t>
            </w:r>
            <w:r>
              <w:rPr>
                <w:rFonts w:hint="eastAsia" w:ascii="Arial" w:hAnsi="Arial"/>
              </w:rPr>
              <w:t>here are two very similar requirements</w:t>
            </w:r>
            <w:r>
              <w:rPr>
                <w:rFonts w:hint="eastAsia" w:ascii="Arial" w:hAnsi="Arial"/>
                <w:lang w:val="en-US" w:eastAsia="zh-CN"/>
              </w:rPr>
              <w:t xml:space="preserve">, which are </w:t>
            </w:r>
            <w:r>
              <w:rPr>
                <w:rFonts w:ascii="Arial" w:hAnsi="Arial"/>
              </w:rPr>
              <w:t>[PR. 5.4.6-001]</w:t>
            </w:r>
            <w:r>
              <w:rPr>
                <w:rFonts w:hint="eastAsia" w:ascii="Arial" w:hAnsi="Arial"/>
                <w:lang w:val="en-US" w:eastAsia="zh-CN"/>
              </w:rPr>
              <w:t xml:space="preserve"> and </w:t>
            </w:r>
            <w:r>
              <w:rPr>
                <w:rFonts w:hint="eastAsia" w:ascii="Arial" w:hAnsi="Arial"/>
              </w:rPr>
              <w:t>[PR. 5.5.6-002]</w:t>
            </w:r>
            <w:r>
              <w:rPr>
                <w:rFonts w:hint="eastAsia" w:ascii="Arial" w:hAnsi="Arial"/>
                <w:lang w:val="en-US" w:eastAsia="zh-CN"/>
              </w:rPr>
              <w:t xml:space="preserve">, related with the local data routing </w:t>
            </w:r>
            <w:r>
              <w:rPr>
                <w:rFonts w:hint="eastAsia" w:ascii="Arial" w:hAnsi="Arial"/>
              </w:rPr>
              <w:t xml:space="preserve">in </w:t>
            </w:r>
            <w:r>
              <w:rPr>
                <w:rFonts w:hint="eastAsia" w:ascii="Arial" w:hAnsi="Arial"/>
                <w:lang w:val="en-US" w:eastAsia="zh-CN"/>
              </w:rPr>
              <w:t>the chapter 5.4 and 5.5, which are l</w:t>
            </w:r>
            <w:r>
              <w:rPr>
                <w:rFonts w:hint="eastAsia" w:ascii="Arial" w:hAnsi="Arial"/>
              </w:rPr>
              <w:t>ack of alignment</w:t>
            </w:r>
            <w:r>
              <w:rPr>
                <w:rFonts w:hint="eastAsia" w:ascii="Arial" w:hAnsi="Arial"/>
                <w:lang w:val="en-US" w:eastAsia="zh-CN"/>
              </w:rPr>
              <w:t>.</w:t>
            </w:r>
            <w:r>
              <w:rPr>
                <w:rFonts w:hint="eastAsia" w:ascii="Arial" w:hAnsi="Arial"/>
              </w:rPr>
              <w:t xml:space="preserve"> </w:t>
            </w:r>
            <w:r>
              <w:rPr>
                <w:rFonts w:hint="eastAsia" w:ascii="Arial" w:hAnsi="Arial"/>
                <w:lang w:val="en-US" w:eastAsia="zh-CN"/>
              </w:rPr>
              <w:t>According to the editor</w:t>
            </w:r>
            <w:r>
              <w:rPr>
                <w:rFonts w:ascii="Arial" w:hAnsi="Arial"/>
                <w:lang w:val="en-US" w:eastAsia="zh-CN"/>
              </w:rPr>
              <w:t>’</w:t>
            </w:r>
            <w:r>
              <w:rPr>
                <w:rFonts w:hint="eastAsia" w:ascii="Arial" w:hAnsi="Arial"/>
                <w:lang w:val="en-US" w:eastAsia="zh-CN"/>
              </w:rPr>
              <w:t>s note of last meeting, they are</w:t>
            </w:r>
            <w:r>
              <w:rPr>
                <w:rFonts w:hint="eastAsia" w:ascii="Arial" w:hAnsi="Arial"/>
              </w:rPr>
              <w:t xml:space="preserve"> recommended to </w:t>
            </w:r>
            <w:r>
              <w:rPr>
                <w:rFonts w:hint="eastAsia" w:ascii="Arial" w:hAnsi="Arial"/>
                <w:lang w:val="en-US" w:eastAsia="zh-CN"/>
              </w:rPr>
              <w:t xml:space="preserve">be </w:t>
            </w:r>
            <w:r>
              <w:rPr>
                <w:rFonts w:hint="eastAsia" w:ascii="Arial" w:hAnsi="Arial"/>
              </w:rPr>
              <w:t>merge</w:t>
            </w:r>
            <w:r>
              <w:rPr>
                <w:rFonts w:hint="eastAsia" w:ascii="Arial" w:hAnsi="Arial"/>
                <w:lang w:val="en-US" w:eastAsia="zh-CN"/>
              </w:rPr>
              <w:t xml:space="preserve">d to consolidation. </w:t>
            </w:r>
            <w:r>
              <w:rPr>
                <w:rFonts w:ascii="Arial" w:hAnsi="Arial"/>
              </w:rPr>
              <w:t xml:space="preserve">Because of these reasons, </w:t>
            </w:r>
            <w:r>
              <w:rPr>
                <w:rFonts w:hint="eastAsia" w:ascii="Arial" w:hAnsi="Arial"/>
                <w:lang w:val="en-US" w:eastAsia="zh-CN"/>
              </w:rPr>
              <w:t>t</w:t>
            </w:r>
            <w:r>
              <w:rPr>
                <w:rFonts w:hint="eastAsia" w:ascii="Arial" w:hAnsi="Arial"/>
              </w:rPr>
              <w:t xml:space="preserve">his requirement should be consistent with </w:t>
            </w:r>
            <w:r>
              <w:rPr>
                <w:rFonts w:hint="eastAsia" w:ascii="Arial" w:hAnsi="Arial"/>
                <w:lang w:val="en-US" w:eastAsia="zh-CN"/>
              </w:rPr>
              <w:t>corresponding part of CR 0003</w:t>
            </w:r>
            <w:r>
              <w:rPr>
                <w:rFonts w:hint="eastAsia" w:ascii="Arial" w:hAnsi="Arial"/>
              </w:rPr>
              <w:t xml:space="preserve"> and </w:t>
            </w:r>
            <w:r>
              <w:rPr>
                <w:rFonts w:hint="eastAsia" w:ascii="Arial" w:hAnsi="Arial"/>
                <w:lang w:val="en-US" w:eastAsia="zh-CN"/>
              </w:rPr>
              <w:t>CR 0006.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rPr>
                <w:rFonts w:ascii="Arial" w:hAnsi="Arial"/>
              </w:rPr>
            </w:pPr>
            <w:r>
              <w:rPr>
                <w:rFonts w:hint="eastAsia" w:ascii="Arial" w:hAnsi="Arial"/>
                <w:lang w:val="en-US" w:eastAsia="zh-CN"/>
              </w:rPr>
              <w:t>C</w:t>
            </w:r>
            <w:r>
              <w:rPr>
                <w:rFonts w:hint="eastAsia" w:ascii="Arial" w:hAnsi="Arial"/>
              </w:rPr>
              <w:t>onsistent with 5.5.6 and the consolidation</w:t>
            </w:r>
            <w:r>
              <w:rPr>
                <w:rFonts w:hint="eastAsia" w:ascii="Arial" w:hAnsi="Arial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</w:pPr>
            <w:r>
              <w:t>Requirement will be kept that is out of the 3GPP specification scope.</w:t>
            </w:r>
            <w:bookmarkStart w:id="2" w:name="_GoBack"/>
            <w:bookmarkEnd w:id="2"/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5.4.6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-</w:t>
            </w: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5" w:type="first"/>
          <w:footerReference r:id="rId8" w:type="first"/>
          <w:headerReference r:id="rId3" w:type="default"/>
          <w:footerReference r:id="rId6" w:type="default"/>
          <w:headerReference r:id="rId4" w:type="even"/>
          <w:footerReference r:id="rId7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4"/>
      </w:pPr>
      <w:bookmarkStart w:id="1" w:name="_Toc74151316"/>
      <w:r>
        <w:t>5.</w:t>
      </w:r>
      <w:r>
        <w:rPr>
          <w:lang w:val="en-US" w:eastAsia="zh-CN"/>
        </w:rPr>
        <w:t>4</w:t>
      </w:r>
      <w:r>
        <w:t>.</w:t>
      </w:r>
      <w:r>
        <w:rPr>
          <w:rFonts w:hint="eastAsia"/>
          <w:lang w:val="en-US" w:eastAsia="zh-CN"/>
        </w:rPr>
        <w:t>6</w:t>
      </w:r>
      <w:r>
        <w:tab/>
      </w:r>
      <w:r>
        <w:t>Potential New Requirements needed to support the use case</w:t>
      </w:r>
      <w:bookmarkEnd w:id="1"/>
    </w:p>
    <w:p>
      <w:r>
        <w:rPr>
          <w:lang w:val="en-US" w:eastAsia="zh-CN"/>
        </w:rPr>
        <w:t>[PR. 5.4.6-001]</w:t>
      </w:r>
      <w:r>
        <w:rPr>
          <w:lang w:val="en-US" w:eastAsia="zh-CN"/>
        </w:rPr>
        <w:tab/>
      </w:r>
      <w:ins w:id="0" w:author="Toon Norp" w:date="2021-07-12T16:44:00Z">
        <w:r>
          <w:rPr>
            <w:rFonts w:hint="eastAsia"/>
            <w:lang w:val="en-US" w:eastAsia="zh-CN"/>
          </w:rPr>
          <w:t xml:space="preserve">Subject to regulatory requirements and operator policy, </w:t>
        </w:r>
      </w:ins>
      <w:del w:id="1" w:author="Toon Norp" w:date="2021-07-12T16:45:00Z">
        <w:r>
          <w:rPr/>
          <w:delText xml:space="preserve">The </w:delText>
        </w:r>
      </w:del>
      <w:ins w:id="2" w:author="Toon Norp" w:date="2021-07-12T16:45:00Z">
        <w:r>
          <w:rPr/>
          <w:t xml:space="preserve">the </w:t>
        </w:r>
      </w:ins>
      <w:r>
        <w:t xml:space="preserve">5G system shall support </w:t>
      </w:r>
      <w:del w:id="3" w:author="Toon Norp" w:date="2021-07-12T16:45:00Z">
        <w:r>
          <w:rPr/>
          <w:delText xml:space="preserve">routing efficiency for data traffic between a UE and a non-3GPP device </w:delText>
        </w:r>
      </w:del>
      <w:ins w:id="4" w:author="Toon Norp" w:date="2021-07-12T16:46:00Z">
        <w:r>
          <w:rPr>
            <w:rFonts w:hint="eastAsia"/>
            <w:lang w:val="en-US" w:eastAsia="zh-CN"/>
          </w:rPr>
          <w:t xml:space="preserve">an efficient data path </w:t>
        </w:r>
      </w:ins>
      <w:r>
        <w:t xml:space="preserve">through an </w:t>
      </w:r>
      <w:r>
        <w:rPr>
          <w:lang w:eastAsia="zh-CN"/>
        </w:rPr>
        <w:t>Evolved Residential Gateway</w:t>
      </w:r>
      <w:ins w:id="5" w:author="Toon Norp" w:date="2021-07-12T16:46:00Z">
        <w:r>
          <w:rPr>
            <w:rFonts w:hint="eastAsia"/>
            <w:lang w:val="en-US" w:eastAsia="zh-CN"/>
          </w:rPr>
          <w:t xml:space="preserve"> for intra-CPN data traffic to or from a UE</w:t>
        </w:r>
      </w:ins>
      <w:r>
        <w:t xml:space="preserve">. </w:t>
      </w:r>
    </w:p>
    <w:p>
      <w:pPr>
        <w:pStyle w:val="74"/>
      </w:pPr>
      <w:r>
        <w:t xml:space="preserve">Editor’s Note: </w:t>
      </w:r>
      <w:r>
        <w:rPr>
          <w:rFonts w:hint="eastAsia"/>
        </w:rPr>
        <w:t>This</w:t>
      </w:r>
      <w:r>
        <w:t xml:space="preserve"> requirement can </w:t>
      </w:r>
      <w:r>
        <w:rPr>
          <w:rFonts w:hint="eastAsia"/>
        </w:rPr>
        <w:t>b</w:t>
      </w:r>
      <w:r>
        <w:t>e merged during potential requirement consolidation.</w:t>
      </w:r>
    </w:p>
    <w:p>
      <w:pPr>
        <w:pStyle w:val="74"/>
        <w:overflowPunct w:val="0"/>
        <w:autoSpaceDE w:val="0"/>
        <w:autoSpaceDN w:val="0"/>
        <w:adjustRightInd w:val="0"/>
        <w:textAlignment w:val="baseline"/>
        <w:rPr>
          <w:ins w:id="6" w:author="Toon Norp" w:date="2021-07-12T16:44:00Z"/>
          <w:rStyle w:val="86"/>
          <w:color w:val="auto"/>
        </w:rPr>
      </w:pPr>
      <w:ins w:id="7" w:author="Toon Norp" w:date="2021-07-12T16:44:00Z">
        <w:r>
          <w:rPr>
            <w:rFonts w:eastAsia="Times New Roman"/>
            <w:color w:val="auto"/>
            <w:lang w:eastAsia="en-GB"/>
          </w:rPr>
          <w:t>N</w:t>
        </w:r>
      </w:ins>
      <w:ins w:id="8" w:author="Toon Norp" w:date="2021-07-12T16:44:00Z">
        <w:r>
          <w:rPr>
            <w:rStyle w:val="86"/>
            <w:color w:val="auto"/>
          </w:rPr>
          <w:t>OTE:</w:t>
        </w:r>
      </w:ins>
      <w:ins w:id="9" w:author="Toon Norp" w:date="2021-07-12T16:44:00Z">
        <w:r>
          <w:rPr>
            <w:rStyle w:val="86"/>
            <w:color w:val="auto"/>
          </w:rPr>
          <w:tab/>
        </w:r>
      </w:ins>
      <w:ins w:id="10" w:author="Toon Norp" w:date="2021-07-12T16:44:00Z">
        <w:r>
          <w:rPr>
            <w:rStyle w:val="86"/>
            <w:color w:val="auto"/>
          </w:rPr>
          <w:t>For services an operator deploys in the 5G network (i.e. not in the CPN), local data routed via eRG does not apply.</w:t>
        </w:r>
      </w:ins>
    </w:p>
    <w:p/>
    <w:sectPr>
      <w:headerReference r:id="rId11" w:type="first"/>
      <w:headerReference r:id="rId9" w:type="default"/>
      <w:headerReference r:id="rId10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3"/>
    </w:pPr>
    <w:r>
      <w:rPr>
        <w:lang w:val="en-US" w:eastAsia="zh-CN"/>
      </w:rPr>
      <mc:AlternateContent>
        <mc:Choice Requires="wps">
          <w:drawing>
            <wp:anchor distT="0" distB="0" distL="114300" distR="114300" simplePos="0" relativeHeight="251659264" behindDoc="0" locked="0" layoutInCell="0" allowOverlap="1">
              <wp:simplePos x="0" y="0"/>
              <wp:positionH relativeFrom="page">
                <wp:posOffset>0</wp:posOffset>
              </wp:positionH>
              <wp:positionV relativeFrom="page">
                <wp:posOffset>10229215</wp:posOffset>
              </wp:positionV>
              <wp:extent cx="7560945" cy="273050"/>
              <wp:effectExtent l="0" t="0" r="0" b="12700"/>
              <wp:wrapNone/>
              <wp:docPr id="1" name="MSIPCMd4ac42b3b8feaa4a36ed6591" descr="{&quot;HashCode&quot;:-1699574231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MSIPCMd4ac42b3b8feaa4a36ed6591" o:spid="_x0000_s1026" o:spt="202" alt="{&quot;HashCode&quot;:-1699574231,&quot;Height&quot;:842.0,&quot;Width&quot;:595.0,&quot;Placement&quot;:&quot;Footer&quot;,&quot;Index&quot;:&quot;Primary&quot;,&quot;Section&quot;:1,&quot;Top&quot;:0.0,&quot;Left&quot;:0.0}" type="#_x0000_t202" style="position:absolute;left:0pt;margin-left:0pt;margin-top:805.45pt;height:21.5pt;width:595.35pt;mso-position-horizontal-relative:page;mso-position-vertical-relative:page;z-index:251659264;v-text-anchor:bottom;mso-width-relative:page;mso-height-relative:page;" filled="f" stroked="f" coordsize="21600,21600" o:allowincell="f" o:gfxdata="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">
              <v:fill on="f" focussize="0,0"/>
              <v:stroke on="f" weight="0.5pt"/>
              <v:imagedata o:title=""/>
              <o:lock v:ext="edit" aspectratio="f"/>
              <v:textbox inset="20pt,0mm,2.54mm,0mm">
                <w:txbxContent>
                  <w:p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>
                      <w:rPr>
                        <w:rFonts w:ascii="Calibri" w:hAnsi="Calibri" w:cs="Calibri"/>
                        <w:color w:val="000000"/>
                        <w:sz w:val="14"/>
                      </w:rPr>
                      <w:t>C2 General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Toon Norp">
    <w15:presenceInfo w15:providerId="None" w15:userId="Toon Norp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3406"/>
    <w:rsid w:val="00095FFE"/>
    <w:rsid w:val="000A6394"/>
    <w:rsid w:val="000B7FED"/>
    <w:rsid w:val="000C038A"/>
    <w:rsid w:val="000C6598"/>
    <w:rsid w:val="000D44B3"/>
    <w:rsid w:val="00112557"/>
    <w:rsid w:val="00114BDE"/>
    <w:rsid w:val="001266ED"/>
    <w:rsid w:val="00144D30"/>
    <w:rsid w:val="00145D43"/>
    <w:rsid w:val="00192C46"/>
    <w:rsid w:val="001A08B3"/>
    <w:rsid w:val="001A7B60"/>
    <w:rsid w:val="001B52F0"/>
    <w:rsid w:val="001B6E69"/>
    <w:rsid w:val="001B7A65"/>
    <w:rsid w:val="001D007C"/>
    <w:rsid w:val="001E41F3"/>
    <w:rsid w:val="00202CEC"/>
    <w:rsid w:val="00242C24"/>
    <w:rsid w:val="0026004D"/>
    <w:rsid w:val="002640DD"/>
    <w:rsid w:val="00265E9D"/>
    <w:rsid w:val="00275D12"/>
    <w:rsid w:val="0027752F"/>
    <w:rsid w:val="00280980"/>
    <w:rsid w:val="00284FEB"/>
    <w:rsid w:val="002860C4"/>
    <w:rsid w:val="00292061"/>
    <w:rsid w:val="002B5741"/>
    <w:rsid w:val="002C373A"/>
    <w:rsid w:val="002D23E8"/>
    <w:rsid w:val="002E472E"/>
    <w:rsid w:val="00301689"/>
    <w:rsid w:val="00302E4B"/>
    <w:rsid w:val="00305409"/>
    <w:rsid w:val="0034770B"/>
    <w:rsid w:val="003609EF"/>
    <w:rsid w:val="0036231A"/>
    <w:rsid w:val="00374DD4"/>
    <w:rsid w:val="00393F6E"/>
    <w:rsid w:val="00397182"/>
    <w:rsid w:val="003A2DAB"/>
    <w:rsid w:val="003B4AE0"/>
    <w:rsid w:val="003D522F"/>
    <w:rsid w:val="003E06DE"/>
    <w:rsid w:val="003E1A36"/>
    <w:rsid w:val="003E46C7"/>
    <w:rsid w:val="003E7AFF"/>
    <w:rsid w:val="004003B3"/>
    <w:rsid w:val="00403113"/>
    <w:rsid w:val="00410371"/>
    <w:rsid w:val="004242F1"/>
    <w:rsid w:val="00476818"/>
    <w:rsid w:val="00482619"/>
    <w:rsid w:val="00494ADE"/>
    <w:rsid w:val="004B75B7"/>
    <w:rsid w:val="004E162E"/>
    <w:rsid w:val="00506E72"/>
    <w:rsid w:val="0051580D"/>
    <w:rsid w:val="005413D2"/>
    <w:rsid w:val="00547111"/>
    <w:rsid w:val="005616DE"/>
    <w:rsid w:val="005661CB"/>
    <w:rsid w:val="00580014"/>
    <w:rsid w:val="00592D74"/>
    <w:rsid w:val="005A31E9"/>
    <w:rsid w:val="005A63D9"/>
    <w:rsid w:val="005C132A"/>
    <w:rsid w:val="005E2C44"/>
    <w:rsid w:val="00621188"/>
    <w:rsid w:val="006257ED"/>
    <w:rsid w:val="006331B0"/>
    <w:rsid w:val="006362FB"/>
    <w:rsid w:val="00665C47"/>
    <w:rsid w:val="00695808"/>
    <w:rsid w:val="006B1F9E"/>
    <w:rsid w:val="006B46FB"/>
    <w:rsid w:val="006E1D7F"/>
    <w:rsid w:val="006E21FB"/>
    <w:rsid w:val="007014F0"/>
    <w:rsid w:val="0070773A"/>
    <w:rsid w:val="007176FF"/>
    <w:rsid w:val="00721A32"/>
    <w:rsid w:val="00755FDD"/>
    <w:rsid w:val="007873FE"/>
    <w:rsid w:val="00792203"/>
    <w:rsid w:val="00792342"/>
    <w:rsid w:val="007977A8"/>
    <w:rsid w:val="007A17C0"/>
    <w:rsid w:val="007A6044"/>
    <w:rsid w:val="007B512A"/>
    <w:rsid w:val="007C2097"/>
    <w:rsid w:val="007D6A07"/>
    <w:rsid w:val="007E3AD2"/>
    <w:rsid w:val="007F7259"/>
    <w:rsid w:val="008040A8"/>
    <w:rsid w:val="008279FA"/>
    <w:rsid w:val="0084467D"/>
    <w:rsid w:val="0085690A"/>
    <w:rsid w:val="008626E7"/>
    <w:rsid w:val="00870EE7"/>
    <w:rsid w:val="0088033E"/>
    <w:rsid w:val="008863B9"/>
    <w:rsid w:val="008A01C8"/>
    <w:rsid w:val="008A45A6"/>
    <w:rsid w:val="008A5DF6"/>
    <w:rsid w:val="008F3789"/>
    <w:rsid w:val="008F686C"/>
    <w:rsid w:val="009148DE"/>
    <w:rsid w:val="00921E35"/>
    <w:rsid w:val="00941E30"/>
    <w:rsid w:val="009423B1"/>
    <w:rsid w:val="00945AEA"/>
    <w:rsid w:val="00957215"/>
    <w:rsid w:val="009777D9"/>
    <w:rsid w:val="00991B88"/>
    <w:rsid w:val="00995D18"/>
    <w:rsid w:val="009A3D95"/>
    <w:rsid w:val="009A5753"/>
    <w:rsid w:val="009A579D"/>
    <w:rsid w:val="009B029E"/>
    <w:rsid w:val="009D6DF6"/>
    <w:rsid w:val="009E3297"/>
    <w:rsid w:val="009F734F"/>
    <w:rsid w:val="00A058F3"/>
    <w:rsid w:val="00A246B6"/>
    <w:rsid w:val="00A47E70"/>
    <w:rsid w:val="00A50CF0"/>
    <w:rsid w:val="00A73EEF"/>
    <w:rsid w:val="00A7671C"/>
    <w:rsid w:val="00A84487"/>
    <w:rsid w:val="00A923D2"/>
    <w:rsid w:val="00AA2CBC"/>
    <w:rsid w:val="00AB2870"/>
    <w:rsid w:val="00AB2D32"/>
    <w:rsid w:val="00AC5820"/>
    <w:rsid w:val="00AD1CD8"/>
    <w:rsid w:val="00AD2BA8"/>
    <w:rsid w:val="00AE1AF8"/>
    <w:rsid w:val="00B12E56"/>
    <w:rsid w:val="00B2410B"/>
    <w:rsid w:val="00B258BB"/>
    <w:rsid w:val="00B67B97"/>
    <w:rsid w:val="00B70650"/>
    <w:rsid w:val="00B968C8"/>
    <w:rsid w:val="00BA3EC5"/>
    <w:rsid w:val="00BA51D9"/>
    <w:rsid w:val="00BB5DFC"/>
    <w:rsid w:val="00BD03F2"/>
    <w:rsid w:val="00BD279D"/>
    <w:rsid w:val="00BD6BB8"/>
    <w:rsid w:val="00C15450"/>
    <w:rsid w:val="00C2155B"/>
    <w:rsid w:val="00C27F3F"/>
    <w:rsid w:val="00C30F05"/>
    <w:rsid w:val="00C33931"/>
    <w:rsid w:val="00C41D5E"/>
    <w:rsid w:val="00C66BA2"/>
    <w:rsid w:val="00C95985"/>
    <w:rsid w:val="00CA2F6C"/>
    <w:rsid w:val="00CC5026"/>
    <w:rsid w:val="00CC68D0"/>
    <w:rsid w:val="00CF5F7B"/>
    <w:rsid w:val="00D03F9A"/>
    <w:rsid w:val="00D06D51"/>
    <w:rsid w:val="00D13D30"/>
    <w:rsid w:val="00D24991"/>
    <w:rsid w:val="00D24E3B"/>
    <w:rsid w:val="00D50255"/>
    <w:rsid w:val="00D66294"/>
    <w:rsid w:val="00D66520"/>
    <w:rsid w:val="00D72F22"/>
    <w:rsid w:val="00D80466"/>
    <w:rsid w:val="00D86367"/>
    <w:rsid w:val="00D96E1F"/>
    <w:rsid w:val="00D97BC9"/>
    <w:rsid w:val="00DE34CF"/>
    <w:rsid w:val="00DF6653"/>
    <w:rsid w:val="00E13F3D"/>
    <w:rsid w:val="00E27A43"/>
    <w:rsid w:val="00E34898"/>
    <w:rsid w:val="00E632D4"/>
    <w:rsid w:val="00E72010"/>
    <w:rsid w:val="00E73E4B"/>
    <w:rsid w:val="00E81632"/>
    <w:rsid w:val="00EA0A27"/>
    <w:rsid w:val="00EA5DF6"/>
    <w:rsid w:val="00EA6A55"/>
    <w:rsid w:val="00EA6E16"/>
    <w:rsid w:val="00EB074E"/>
    <w:rsid w:val="00EB09B7"/>
    <w:rsid w:val="00EE7D7C"/>
    <w:rsid w:val="00F02C30"/>
    <w:rsid w:val="00F2174A"/>
    <w:rsid w:val="00F25D98"/>
    <w:rsid w:val="00F300FB"/>
    <w:rsid w:val="00F36AE6"/>
    <w:rsid w:val="00F470A2"/>
    <w:rsid w:val="00F9785F"/>
    <w:rsid w:val="00FB6386"/>
    <w:rsid w:val="00FD7888"/>
    <w:rsid w:val="0A425615"/>
    <w:rsid w:val="17200883"/>
    <w:rsid w:val="260D5E02"/>
    <w:rsid w:val="2BA53D59"/>
    <w:rsid w:val="2D745902"/>
    <w:rsid w:val="327D1E4E"/>
    <w:rsid w:val="3B940B8C"/>
    <w:rsid w:val="4214590C"/>
    <w:rsid w:val="4F96521D"/>
    <w:rsid w:val="5D6F7084"/>
    <w:rsid w:val="61970A8F"/>
    <w:rsid w:val="679C7218"/>
    <w:rsid w:val="71E5613A"/>
    <w:rsid w:val="757938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等线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 w:line="259" w:lineRule="auto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 w:line="259" w:lineRule="auto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uiPriority w:val="1"/>
  </w:style>
  <w:style w:type="table" w:default="1" w:styleId="4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  <w:spacing w:after="160" w:line="259" w:lineRule="auto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after="160"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  <w:spacing w:after="160" w:line="259" w:lineRule="auto"/>
    </w:pPr>
    <w:rPr>
      <w:rFonts w:ascii="Arial" w:hAnsi="Arial" w:eastAsia="宋体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link w:val="8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84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link w:val="86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after="160"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spacing w:after="160" w:line="259" w:lineRule="auto"/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  <w:spacing w:after="160" w:line="259" w:lineRule="auto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spacing w:after="160" w:line="259" w:lineRule="auto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4">
    <w:name w:val="Editor's Note"/>
    <w:basedOn w:val="56"/>
    <w:link w:val="83"/>
    <w:qFormat/>
    <w:uiPriority w:val="0"/>
    <w:rPr>
      <w:color w:val="FF0000"/>
    </w:rPr>
  </w:style>
  <w:style w:type="paragraph" w:customStyle="1" w:styleId="75">
    <w:name w:val="B1"/>
    <w:basedOn w:val="14"/>
    <w:link w:val="87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 w:line="259" w:lineRule="auto"/>
    </w:pPr>
    <w:rPr>
      <w:rFonts w:ascii="Arial" w:hAnsi="Arial" w:eastAsia="宋体" w:cs="Times New Roman"/>
      <w:lang w:val="en-GB" w:eastAsia="en-US" w:bidi="ar-SA"/>
    </w:rPr>
  </w:style>
  <w:style w:type="paragraph" w:customStyle="1" w:styleId="82">
    <w:name w:val="tdoc-header"/>
    <w:qFormat/>
    <w:uiPriority w:val="0"/>
    <w:pPr>
      <w:spacing w:after="160" w:line="259" w:lineRule="auto"/>
    </w:pPr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3">
    <w:name w:val="Editor's Note Char"/>
    <w:link w:val="74"/>
    <w:qFormat/>
    <w:locked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84">
    <w:name w:val="TH Char"/>
    <w:link w:val="55"/>
    <w:qFormat/>
    <w:uiPriority w:val="0"/>
    <w:rPr>
      <w:rFonts w:ascii="Arial" w:hAnsi="Arial"/>
      <w:b/>
      <w:lang w:val="en-GB" w:eastAsia="en-US"/>
    </w:rPr>
  </w:style>
  <w:style w:type="character" w:customStyle="1" w:styleId="85">
    <w:name w:val="TF Char"/>
    <w:link w:val="54"/>
    <w:qFormat/>
    <w:uiPriority w:val="0"/>
    <w:rPr>
      <w:rFonts w:ascii="Arial" w:hAnsi="Arial"/>
      <w:b/>
      <w:lang w:val="en-GB" w:eastAsia="en-US"/>
    </w:rPr>
  </w:style>
  <w:style w:type="character" w:customStyle="1" w:styleId="86">
    <w:name w:val="NO Char"/>
    <w:link w:val="56"/>
    <w:qFormat/>
    <w:uiPriority w:val="0"/>
    <w:rPr>
      <w:rFonts w:ascii="Times New Roman" w:hAnsi="Times New Roman"/>
      <w:lang w:val="en-GB" w:eastAsia="en-US"/>
    </w:rPr>
  </w:style>
  <w:style w:type="character" w:customStyle="1" w:styleId="87">
    <w:name w:val="B1 Char"/>
    <w:link w:val="75"/>
    <w:qFormat/>
    <w:uiPriority w:val="0"/>
    <w:rPr>
      <w:rFonts w:ascii="Times New Roman" w:hAnsi="Times New Roman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header" Target="header4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7" Type="http://schemas.microsoft.com/office/2011/relationships/people" Target="people.xml"/><Relationship Id="rId16" Type="http://schemas.openxmlformats.org/officeDocument/2006/relationships/fontTable" Target="fontTable.xml"/><Relationship Id="rId15" Type="http://schemas.microsoft.com/office/2006/relationships/keyMapCustomizations" Target="customizations.xml"/><Relationship Id="rId14" Type="http://schemas.openxmlformats.org/officeDocument/2006/relationships/customXml" Target="../customXml/item2.xml"/><Relationship Id="rId13" Type="http://schemas.openxmlformats.org/officeDocument/2006/relationships/customXml" Target="../customXml/item1.xml"/><Relationship Id="rId12" Type="http://schemas.openxmlformats.org/officeDocument/2006/relationships/theme" Target="theme/theme1.xml"/><Relationship Id="rId11" Type="http://schemas.openxmlformats.org/officeDocument/2006/relationships/header" Target="header6.xml"/><Relationship Id="rId10" Type="http://schemas.openxmlformats.org/officeDocument/2006/relationships/header" Target="header5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orpah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CDB7548-68B2-456C-8561-0BE2358F236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450</Words>
  <Characters>2403</Characters>
  <Lines>171</Lines>
  <Paragraphs>89</Paragraphs>
  <TotalTime>17</TotalTime>
  <ScaleCrop>false</ScaleCrop>
  <LinksUpToDate>false</LinksUpToDate>
  <CharactersWithSpaces>2764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2021-07-12T14:52:00Z</dcterms:created>
  <dc:creator>Michael Sanders, John M Meredith</dc:creator>
  <cp:lastModifiedBy>wq</cp:lastModifiedBy>
  <cp:lastPrinted>2411-12-31T22:59:00Z</cp:lastPrinted>
  <dcterms:modified xsi:type="dcterms:W3CDTF">2021-07-12T15:46:31Z</dcterms:modified>
  <dc:title>MTG_TITLE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0359f705-2ba0-454b-9cfc-6ce5bcaac040_Enabled">
    <vt:lpwstr>true</vt:lpwstr>
  </property>
  <property fmtid="{D5CDD505-2E9C-101B-9397-08002B2CF9AE}" pid="22" name="MSIP_Label_0359f705-2ba0-454b-9cfc-6ce5bcaac040_SetDate">
    <vt:lpwstr>2021-06-10T06:20:10Z</vt:lpwstr>
  </property>
  <property fmtid="{D5CDD505-2E9C-101B-9397-08002B2CF9AE}" pid="23" name="MSIP_Label_0359f705-2ba0-454b-9cfc-6ce5bcaac040_Method">
    <vt:lpwstr>Standard</vt:lpwstr>
  </property>
  <property fmtid="{D5CDD505-2E9C-101B-9397-08002B2CF9AE}" pid="24" name="MSIP_Label_0359f705-2ba0-454b-9cfc-6ce5bcaac040_Name">
    <vt:lpwstr>0359f705-2ba0-454b-9cfc-6ce5bcaac040</vt:lpwstr>
  </property>
  <property fmtid="{D5CDD505-2E9C-101B-9397-08002B2CF9AE}" pid="25" name="MSIP_Label_0359f705-2ba0-454b-9cfc-6ce5bcaac040_SiteId">
    <vt:lpwstr>68283f3b-8487-4c86-adb3-a5228f18b893</vt:lpwstr>
  </property>
  <property fmtid="{D5CDD505-2E9C-101B-9397-08002B2CF9AE}" pid="26" name="MSIP_Label_0359f705-2ba0-454b-9cfc-6ce5bcaac040_ActionId">
    <vt:lpwstr>bd73f8a7-8a7f-438b-b1a3-0000a53f8781</vt:lpwstr>
  </property>
  <property fmtid="{D5CDD505-2E9C-101B-9397-08002B2CF9AE}" pid="27" name="MSIP_Label_0359f705-2ba0-454b-9cfc-6ce5bcaac040_ContentBits">
    <vt:lpwstr>2</vt:lpwstr>
  </property>
  <property fmtid="{D5CDD505-2E9C-101B-9397-08002B2CF9AE}" pid="28" name="KSOProductBuildVer">
    <vt:lpwstr>2052-11.1.0.10314</vt:lpwstr>
  </property>
</Properties>
</file>