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02EAE7E0"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431069" w:rsidRPr="3243BDAE">
        <w:rPr>
          <w:rFonts w:ascii="Arial" w:eastAsia="Arial" w:hAnsi="Arial" w:cs="Arial"/>
          <w:b/>
          <w:bCs/>
          <w:color w:val="808080" w:themeColor="background1" w:themeShade="80"/>
          <w:sz w:val="25"/>
          <w:szCs w:val="25"/>
        </w:rPr>
        <w:t>242</w:t>
      </w:r>
      <w:r w:rsidR="00431069">
        <w:rPr>
          <w:rFonts w:ascii="Arial" w:eastAsia="Arial" w:hAnsi="Arial" w:cs="Arial"/>
          <w:b/>
          <w:bCs/>
          <w:color w:val="808080" w:themeColor="background1" w:themeShade="80"/>
          <w:sz w:val="25"/>
          <w:szCs w:val="25"/>
        </w:rPr>
        <w:t>272</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0257FDC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D4C15" w:rsidRPr="00AD4C15">
        <w:rPr>
          <w:rFonts w:ascii="Arial" w:eastAsia="SimSun" w:hAnsi="Arial"/>
          <w:sz w:val="24"/>
          <w:szCs w:val="24"/>
          <w:lang w:eastAsia="en-GB"/>
        </w:rPr>
        <w:t xml:space="preserve">Use case on using </w:t>
      </w:r>
      <w:r w:rsidR="008D2C09">
        <w:rPr>
          <w:rFonts w:ascii="Arial" w:eastAsia="SimSun" w:hAnsi="Arial"/>
          <w:sz w:val="24"/>
          <w:szCs w:val="24"/>
          <w:lang w:eastAsia="en-GB"/>
        </w:rPr>
        <w:t xml:space="preserve">FR2 </w:t>
      </w:r>
      <w:r w:rsidR="00AD4C15" w:rsidRPr="00AD4C15">
        <w:rPr>
          <w:rFonts w:ascii="Arial" w:eastAsia="SimSun" w:hAnsi="Arial"/>
          <w:sz w:val="24"/>
          <w:szCs w:val="24"/>
          <w:lang w:eastAsia="en-GB"/>
        </w:rPr>
        <w:t xml:space="preserve">GEO </w:t>
      </w:r>
      <w:r w:rsidR="008D2C09">
        <w:rPr>
          <w:rFonts w:ascii="Arial" w:eastAsia="SimSun" w:hAnsi="Arial"/>
          <w:sz w:val="24"/>
          <w:szCs w:val="24"/>
          <w:lang w:eastAsia="en-GB"/>
        </w:rPr>
        <w:t>downlink and a FR1 NGSO uplink</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3FC008DA" w:rsidR="00B4181D" w:rsidRPr="00431069"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431069">
        <w:rPr>
          <w:rFonts w:ascii="Arial" w:eastAsia="SimSun" w:hAnsi="Arial"/>
          <w:sz w:val="24"/>
          <w:szCs w:val="24"/>
          <w:lang w:val="fr-FR" w:eastAsia="en-GB"/>
        </w:rPr>
        <w:t>Source:</w:t>
      </w:r>
      <w:r w:rsidR="00756E9C" w:rsidRPr="00431069">
        <w:rPr>
          <w:rFonts w:ascii="Arial" w:eastAsia="SimSun" w:hAnsi="Arial"/>
          <w:sz w:val="24"/>
          <w:szCs w:val="24"/>
          <w:lang w:val="fr-FR" w:eastAsia="en-GB"/>
        </w:rPr>
        <w:tab/>
      </w:r>
      <w:r w:rsidR="00627436" w:rsidRPr="00431069">
        <w:rPr>
          <w:rFonts w:ascii="Arial" w:eastAsia="SimSun" w:hAnsi="Arial"/>
          <w:sz w:val="24"/>
          <w:szCs w:val="24"/>
          <w:lang w:val="fr-FR" w:eastAsia="en-GB"/>
        </w:rPr>
        <w:t>Viasat Inc.</w:t>
      </w:r>
      <w:r w:rsidR="00884ACF" w:rsidRPr="00431069">
        <w:rPr>
          <w:rFonts w:ascii="Arial" w:eastAsia="SimSun" w:hAnsi="Arial"/>
          <w:sz w:val="24"/>
          <w:szCs w:val="24"/>
          <w:lang w:val="fr-FR" w:eastAsia="en-GB"/>
        </w:rPr>
        <w:t xml:space="preserve">, </w:t>
      </w:r>
      <w:r w:rsidR="00E26389" w:rsidRPr="00431069">
        <w:rPr>
          <w:rFonts w:ascii="Arial" w:eastAsia="SimSun" w:hAnsi="Arial"/>
          <w:sz w:val="24"/>
          <w:szCs w:val="24"/>
          <w:lang w:val="fr-FR" w:eastAsia="en-GB"/>
        </w:rPr>
        <w:t xml:space="preserve">Inmarsat, </w:t>
      </w:r>
      <w:r w:rsidR="00884ACF" w:rsidRPr="00431069">
        <w:rPr>
          <w:rFonts w:ascii="Arial" w:eastAsia="SimSun" w:hAnsi="Arial"/>
          <w:sz w:val="24"/>
          <w:szCs w:val="24"/>
          <w:lang w:val="fr-FR" w:eastAsia="en-GB"/>
        </w:rPr>
        <w:t>Novamint</w:t>
      </w:r>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Petranovich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(LoS)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512BEE25" w:rsidR="00756E9C" w:rsidRPr="00756E9C" w:rsidRDefault="009E7D0B" w:rsidP="00756E9C">
      <w:pPr>
        <w:rPr>
          <w:rFonts w:eastAsia="Calibri"/>
        </w:rPr>
      </w:pPr>
      <w:r w:rsidRPr="24EF730C">
        <w:rPr>
          <w:rFonts w:eastAsia="Calibri"/>
        </w:rPr>
        <w:t>In this paper, we describe</w:t>
      </w:r>
      <w:r w:rsidR="00884ACF">
        <w:rPr>
          <w:rFonts w:eastAsia="Calibri"/>
        </w:rPr>
        <w:t xml:space="preserve"> one of the</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4633B01F" w14:textId="2A100AFB" w:rsidR="00992137" w:rsidRPr="000D6532" w:rsidRDefault="00570AE6" w:rsidP="00583586">
      <w:pPr>
        <w:pStyle w:val="Heading2"/>
      </w:pPr>
      <w:r>
        <w:t>2</w:t>
      </w:r>
      <w:r w:rsidR="00992137" w:rsidRPr="000D6532">
        <w:t>.</w:t>
      </w:r>
      <w:r>
        <w:t>3</w:t>
      </w:r>
      <w:r w:rsidR="00992137" w:rsidRPr="000D6532">
        <w:tab/>
      </w:r>
      <w:r w:rsidR="00431069" w:rsidRPr="00431069">
        <w:rPr>
          <w:lang w:val="en-GB"/>
        </w:rPr>
        <w:t>FR2 GEO downlink with FR1 LEO uplink</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3C505107" w14:textId="78B767BA" w:rsidR="00ED1846" w:rsidRDefault="00431069" w:rsidP="00ED1846">
      <w:r>
        <w:t xml:space="preserve">FR2 typically has a lot more bandwidth than FR1.  Thus enables users to have true broadband connectivity on the downlink over FR2.  Due to typical asymmetrical data usage, the return link (uplink), can be accommodated by a FR1 link.  This link may be over a LEO satellite.  The use case envisages a FR2 GEO satellite (e.g. a Ka-band GEO satellite) co-existing in a network with a FR1 LEO satellite (e.g. L-band LEO).  This also reduces the cost of a UE, since the narrowband FR1 uplink RF path is typically much cheaper than a broadband FR2 uplink RF path.  </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4497A234" w14:textId="77777777" w:rsidR="00884ACF" w:rsidRDefault="00884ACF" w:rsidP="00884ACF">
      <w:pPr>
        <w:numPr>
          <w:ilvl w:val="0"/>
          <w:numId w:val="5"/>
        </w:numPr>
        <w:rPr>
          <w:rFonts w:eastAsia="Calibri"/>
        </w:rPr>
      </w:pPr>
      <w:r>
        <w:rPr>
          <w:rFonts w:eastAsia="Calibri"/>
        </w:rPr>
        <w:t>The network supports both GEO and NGSO satellites</w:t>
      </w:r>
    </w:p>
    <w:p w14:paraId="08367092" w14:textId="77777777" w:rsidR="00884ACF" w:rsidRDefault="00884ACF" w:rsidP="00884ACF">
      <w:pPr>
        <w:numPr>
          <w:ilvl w:val="0"/>
          <w:numId w:val="5"/>
        </w:numPr>
        <w:rPr>
          <w:rFonts w:eastAsia="Calibri"/>
        </w:rPr>
      </w:pPr>
      <w:r w:rsidRPr="3243BDAE">
        <w:rPr>
          <w:rFonts w:eastAsia="Calibri"/>
        </w:rPr>
        <w:t>The network supports handover between GEO satellite(s) and NGSO satellite(s)</w:t>
      </w:r>
    </w:p>
    <w:p w14:paraId="2B89560D" w14:textId="62DECAD0" w:rsidR="00884ACF" w:rsidRDefault="00884ACF" w:rsidP="00884ACF">
      <w:pPr>
        <w:numPr>
          <w:ilvl w:val="0"/>
          <w:numId w:val="5"/>
        </w:numPr>
        <w:rPr>
          <w:rFonts w:eastAsia="Calibri"/>
        </w:rPr>
      </w:pPr>
      <w:r w:rsidRPr="3243BDAE">
        <w:rPr>
          <w:rFonts w:eastAsia="Calibri"/>
        </w:rPr>
        <w:t xml:space="preserve">UEs can close a link to both </w:t>
      </w:r>
      <w:r w:rsidR="00431069">
        <w:rPr>
          <w:rFonts w:eastAsia="Calibri"/>
        </w:rPr>
        <w:t xml:space="preserve">FR2 </w:t>
      </w:r>
      <w:r w:rsidRPr="3243BDAE">
        <w:rPr>
          <w:rFonts w:eastAsia="Calibri"/>
        </w:rPr>
        <w:t>GEO</w:t>
      </w:r>
      <w:r w:rsidR="00431069">
        <w:rPr>
          <w:rFonts w:eastAsia="Calibri"/>
        </w:rPr>
        <w:t xml:space="preserve"> (downlink)</w:t>
      </w:r>
      <w:r w:rsidRPr="3243BDAE">
        <w:rPr>
          <w:rFonts w:eastAsia="Calibri"/>
        </w:rPr>
        <w:t xml:space="preserve"> and </w:t>
      </w:r>
      <w:r w:rsidR="00431069">
        <w:rPr>
          <w:rFonts w:eastAsia="Calibri"/>
        </w:rPr>
        <w:t xml:space="preserve">FR1 </w:t>
      </w:r>
      <w:r w:rsidRPr="3243BDAE">
        <w:rPr>
          <w:rFonts w:eastAsia="Calibri"/>
        </w:rPr>
        <w:t xml:space="preserve">NGSO </w:t>
      </w:r>
      <w:r w:rsidR="00431069">
        <w:rPr>
          <w:rFonts w:eastAsia="Calibri"/>
        </w:rPr>
        <w:t xml:space="preserve">(uplink) </w:t>
      </w:r>
      <w:r w:rsidRPr="3243BDAE">
        <w:rPr>
          <w:rFonts w:eastAsia="Calibri"/>
        </w:rPr>
        <w:t>satellites</w:t>
      </w:r>
    </w:p>
    <w:p w14:paraId="4EB6EF5D" w14:textId="77777777" w:rsidR="00884ACF" w:rsidRDefault="00884ACF" w:rsidP="00884ACF">
      <w:pPr>
        <w:numPr>
          <w:ilvl w:val="0"/>
          <w:numId w:val="5"/>
        </w:numPr>
        <w:rPr>
          <w:rFonts w:eastAsia="Calibri"/>
        </w:rPr>
      </w:pPr>
      <w:r w:rsidRPr="3243BDAE">
        <w:rPr>
          <w:rFonts w:eastAsia="Calibri"/>
        </w:rPr>
        <w:t>UEs are able to handle the Doppler of NGSO satellites</w:t>
      </w:r>
    </w:p>
    <w:p w14:paraId="5B0996EE" w14:textId="77777777" w:rsidR="00884ACF" w:rsidRDefault="00884ACF" w:rsidP="00884ACF">
      <w:pPr>
        <w:numPr>
          <w:ilvl w:val="0"/>
          <w:numId w:val="5"/>
        </w:numPr>
        <w:rPr>
          <w:rFonts w:eastAsia="Calibri"/>
        </w:rPr>
      </w:pPr>
      <w:r w:rsidRPr="3243BDAE">
        <w:rPr>
          <w:rFonts w:eastAsia="Calibri"/>
        </w:rPr>
        <w:t>UEs are able to tolerate a differential delay inherent in the GEO and NGSO networks</w:t>
      </w:r>
    </w:p>
    <w:p w14:paraId="19F001A1" w14:textId="77777777" w:rsidR="00884ACF" w:rsidRDefault="00884ACF" w:rsidP="00884ACF">
      <w:pPr>
        <w:numPr>
          <w:ilvl w:val="0"/>
          <w:numId w:val="5"/>
        </w:numPr>
        <w:rPr>
          <w:rFonts w:eastAsia="Calibri"/>
        </w:rPr>
      </w:pPr>
      <w:r>
        <w:rPr>
          <w:rFonts w:eastAsia="Calibri"/>
        </w:rPr>
        <w:t>GEO satellites provide broad coverage via (potentially) spot beams or regional beams</w:t>
      </w:r>
    </w:p>
    <w:p w14:paraId="277B36CF" w14:textId="77777777" w:rsidR="00884ACF" w:rsidRDefault="00884ACF" w:rsidP="00884ACF">
      <w:pPr>
        <w:numPr>
          <w:ilvl w:val="0"/>
          <w:numId w:val="5"/>
        </w:numPr>
        <w:rPr>
          <w:rFonts w:eastAsia="Calibri"/>
        </w:rPr>
      </w:pPr>
      <w:r>
        <w:rPr>
          <w:rFonts w:eastAsia="Calibri"/>
        </w:rPr>
        <w:lastRenderedPageBreak/>
        <w:t>NGSO satellites with focused coverage via on-demand spot beams</w:t>
      </w:r>
    </w:p>
    <w:p w14:paraId="3CF27B51" w14:textId="77777777" w:rsidR="00884ACF" w:rsidRDefault="00884ACF" w:rsidP="00884ACF">
      <w:pPr>
        <w:numPr>
          <w:ilvl w:val="0"/>
          <w:numId w:val="5"/>
        </w:numPr>
        <w:rPr>
          <w:rFonts w:eastAsia="Calibri"/>
        </w:rPr>
      </w:pPr>
      <w:r w:rsidRPr="3243BDAE">
        <w:rPr>
          <w:rFonts w:eastAsia="Calibri"/>
        </w:rPr>
        <w:t>A network plan that deconflicts frequency allocations between the GEO and NGSO satellites.</w:t>
      </w:r>
    </w:p>
    <w:p w14:paraId="3D719D48" w14:textId="77777777" w:rsidR="00884ACF" w:rsidRDefault="00884ACF" w:rsidP="00884ACF">
      <w:pPr>
        <w:numPr>
          <w:ilvl w:val="0"/>
          <w:numId w:val="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4AAB983D" w14:textId="77777777" w:rsidR="00884ACF" w:rsidRDefault="00884ACF" w:rsidP="00884ACF">
      <w:pPr>
        <w:numPr>
          <w:ilvl w:val="0"/>
          <w:numId w:val="5"/>
        </w:numPr>
        <w:rPr>
          <w:rFonts w:eastAsia="Calibri"/>
        </w:rPr>
      </w:pPr>
      <w:r w:rsidRPr="3243BDAE">
        <w:rPr>
          <w:rFonts w:eastAsia="Calibri"/>
        </w:rPr>
        <w:t>The different satellite orbits employed by the network may be supported by the same or different RAT types</w:t>
      </w:r>
    </w:p>
    <w:p w14:paraId="5421B1CD" w14:textId="228AF286" w:rsidR="00431069" w:rsidRDefault="00431069" w:rsidP="00884ACF">
      <w:pPr>
        <w:numPr>
          <w:ilvl w:val="0"/>
          <w:numId w:val="5"/>
        </w:numPr>
        <w:rPr>
          <w:rFonts w:eastAsia="Calibri"/>
        </w:rPr>
      </w:pPr>
      <w:r>
        <w:rPr>
          <w:rFonts w:eastAsia="Calibri"/>
        </w:rPr>
        <w:t>The network is designed to send downlink data packets over a GEO link and receive the uplink data packets via the LEO link</w:t>
      </w:r>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134AEACE" w14:textId="7B52DDB0" w:rsidR="00431069" w:rsidRDefault="00431069" w:rsidP="00431069">
      <w:pPr>
        <w:numPr>
          <w:ilvl w:val="0"/>
          <w:numId w:val="12"/>
        </w:numPr>
      </w:pPr>
      <w:r>
        <w:t>The network shall determine the routing needed in order to send downlink data packet to the UE via the GEO path, while receiving uplink data packets through the LEO path.</w:t>
      </w:r>
    </w:p>
    <w:p w14:paraId="4A7C5DFE" w14:textId="51BAAE79" w:rsidR="00431069" w:rsidRDefault="00431069" w:rsidP="00431069">
      <w:pPr>
        <w:numPr>
          <w:ilvl w:val="0"/>
          <w:numId w:val="12"/>
        </w:numPr>
      </w:pPr>
      <w:r>
        <w:t>Control and Management traffic similarly needs to accommodate the two paths.</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t>Post-conditions</w:t>
      </w:r>
    </w:p>
    <w:p w14:paraId="1ECE13BF" w14:textId="43904651" w:rsidR="00431069" w:rsidRPr="000D6532" w:rsidRDefault="00431069" w:rsidP="00992137">
      <w:pPr>
        <w:rPr>
          <w:rFonts w:eastAsia="Calibri"/>
        </w:rPr>
      </w:pPr>
      <w:r>
        <w:t xml:space="preserve">The UE is able to receive high throughput broadband data via a GEO link while using a LEO for the uplink.  </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3GPP Rel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41557724" w14:textId="77777777" w:rsidR="00431069" w:rsidRDefault="00884ACF" w:rsidP="00992137">
      <w:pPr>
        <w:rPr>
          <w:noProof/>
          <w:lang w:val="en-US" w:eastAsia="zh-CN"/>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rsidR="00606A3B">
        <w:rPr>
          <w:noProof/>
          <w:lang w:val="en-US" w:eastAsia="zh-CN"/>
        </w:rPr>
        <w:t>support a mechanism for</w:t>
      </w:r>
    </w:p>
    <w:p w14:paraId="4276FDB7" w14:textId="7A5602B2" w:rsidR="00D161FB" w:rsidRDefault="00606A3B" w:rsidP="00992137">
      <w:pPr>
        <w:rPr>
          <w:noProof/>
          <w:lang w:val="en-US"/>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002</w:t>
      </w:r>
      <w:r w:rsidRPr="001335B1">
        <w:rPr>
          <w:noProof/>
          <w:lang w:val="en-US"/>
        </w:rPr>
        <w:t xml:space="preserve">] </w:t>
      </w:r>
      <w:r w:rsidR="00431069">
        <w:rPr>
          <w:noProof/>
          <w:lang w:val="en-US"/>
        </w:rPr>
        <w:t>downlink transmission via a GEO link and an uplink transmission via a NGSO link.</w:t>
      </w:r>
    </w:p>
    <w:p w14:paraId="495AFA62" w14:textId="77777777" w:rsidR="00431069" w:rsidRPr="000D6532" w:rsidRDefault="00431069" w:rsidP="00992137">
      <w:pPr>
        <w:rPr>
          <w:rFonts w:eastAsia="Calibri"/>
        </w:rPr>
      </w:pPr>
    </w:p>
    <w:p w14:paraId="10F9CC18" w14:textId="6F2DD7E3"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426"/>
    <w:rsid w:val="003D7981"/>
    <w:rsid w:val="003E3CEC"/>
    <w:rsid w:val="003E468C"/>
    <w:rsid w:val="003E6F8C"/>
    <w:rsid w:val="003F0AE1"/>
    <w:rsid w:val="003F1BFE"/>
    <w:rsid w:val="00403F49"/>
    <w:rsid w:val="004133D4"/>
    <w:rsid w:val="004172A3"/>
    <w:rsid w:val="0041754D"/>
    <w:rsid w:val="00417A12"/>
    <w:rsid w:val="00423170"/>
    <w:rsid w:val="00430CE7"/>
    <w:rsid w:val="00431069"/>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6A3B"/>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84ACF"/>
    <w:rsid w:val="00890A6C"/>
    <w:rsid w:val="0089183A"/>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C09"/>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56E"/>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26389"/>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684</Words>
  <Characters>3904</Characters>
  <Application>Microsoft Office Word</Application>
  <DocSecurity>0</DocSecurity>
  <Lines>32</Lines>
  <Paragraphs>9</Paragraphs>
  <ScaleCrop>false</ScaleCrop>
  <Company>ETSI Secretariat</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Das, Nandan</cp:lastModifiedBy>
  <cp:revision>4</cp:revision>
  <dcterms:created xsi:type="dcterms:W3CDTF">2024-08-09T21:07:00Z</dcterms:created>
  <dcterms:modified xsi:type="dcterms:W3CDTF">2024-08-09T22:22:00Z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