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9E8B07" w14:textId="11C9EBAC" w:rsidR="0070102E" w:rsidRDefault="0070102E" w:rsidP="007010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1867">
        <w:rPr>
          <w:b/>
          <w:noProof/>
          <w:sz w:val="24"/>
        </w:rPr>
        <w:t xml:space="preserve">SA </w:t>
      </w:r>
      <w:r>
        <w:rPr>
          <w:b/>
          <w:noProof/>
          <w:sz w:val="24"/>
        </w:rPr>
        <w:t>Meeting #84</w:t>
      </w:r>
      <w:r>
        <w:rPr>
          <w:b/>
          <w:i/>
          <w:noProof/>
          <w:sz w:val="28"/>
        </w:rPr>
        <w:tab/>
      </w:r>
      <w:r w:rsidR="004D1867">
        <w:rPr>
          <w:b/>
          <w:i/>
          <w:noProof/>
          <w:sz w:val="28"/>
        </w:rPr>
        <w:t xml:space="preserve"> </w:t>
      </w:r>
      <w:r w:rsidR="004D1867">
        <w:rPr>
          <w:b/>
          <w:noProof/>
          <w:sz w:val="24"/>
        </w:rPr>
        <w:t>S</w:t>
      </w:r>
      <w:r>
        <w:rPr>
          <w:b/>
          <w:noProof/>
          <w:sz w:val="24"/>
        </w:rPr>
        <w:t>P-19</w:t>
      </w:r>
      <w:r w:rsidR="00572703">
        <w:rPr>
          <w:b/>
          <w:noProof/>
          <w:sz w:val="24"/>
        </w:rPr>
        <w:t>0</w:t>
      </w:r>
      <w:r w:rsidR="0005430B">
        <w:rPr>
          <w:b/>
          <w:noProof/>
          <w:sz w:val="24"/>
        </w:rPr>
        <w:t>5</w:t>
      </w:r>
      <w:r w:rsidR="00CF30C2">
        <w:rPr>
          <w:b/>
          <w:noProof/>
          <w:sz w:val="24"/>
        </w:rPr>
        <w:t>72</w:t>
      </w:r>
    </w:p>
    <w:p w14:paraId="544879C3" w14:textId="3D9BFF9E" w:rsidR="0070102E" w:rsidRDefault="0070102E" w:rsidP="007010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</w:t>
      </w:r>
      <w:r w:rsidR="004D1867">
        <w:rPr>
          <w:b/>
          <w:noProof/>
          <w:sz w:val="24"/>
        </w:rPr>
        <w:t>5</w:t>
      </w:r>
      <w:r w:rsidR="004D18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</w:t>
      </w:r>
      <w:r w:rsidR="004D1867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963C1B0" w:rsidR="00463675" w:rsidRPr="004D1867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4D1867">
        <w:t>L</w:t>
      </w:r>
      <w:r w:rsidRPr="004D1867">
        <w:t xml:space="preserve">S on </w:t>
      </w:r>
      <w:proofErr w:type="gramStart"/>
      <w:r w:rsidR="00FB593E">
        <w:t>Reporting</w:t>
      </w:r>
      <w:proofErr w:type="gramEnd"/>
      <w:r w:rsidR="00FB593E">
        <w:t xml:space="preserve"> all Cell IDs in 5G.</w:t>
      </w:r>
    </w:p>
    <w:p w14:paraId="65004854" w14:textId="5C7AB4D0" w:rsidR="00463675" w:rsidRPr="004D1867" w:rsidRDefault="00463675" w:rsidP="000F4E43">
      <w:pPr>
        <w:pStyle w:val="Title"/>
      </w:pPr>
      <w:r w:rsidRPr="004D1867">
        <w:t>Response to:</w:t>
      </w:r>
      <w:r w:rsidRPr="004D1867">
        <w:tab/>
        <w:t>LS (</w:t>
      </w:r>
      <w:r w:rsidR="004D1867" w:rsidRPr="004D1867">
        <w:t>S2-1906170</w:t>
      </w:r>
      <w:r w:rsidR="004D1867">
        <w:t>/</w:t>
      </w:r>
      <w:r w:rsidR="004D1867" w:rsidRPr="004D1867">
        <w:t xml:space="preserve"> SP-190327</w:t>
      </w:r>
      <w:r w:rsidR="00C70D3C">
        <w:t>)</w:t>
      </w:r>
      <w:r w:rsidRPr="004D1867">
        <w:t xml:space="preserve"> on </w:t>
      </w:r>
      <w:r w:rsidR="004D1867" w:rsidRPr="004D1867">
        <w:t xml:space="preserve">Further LS relating to “Response LS on reporting all Cell IDs in </w:t>
      </w:r>
      <w:proofErr w:type="gramStart"/>
      <w:r w:rsidR="004D1867" w:rsidRPr="004D1867">
        <w:t>5G</w:t>
      </w:r>
      <w:proofErr w:type="gramEnd"/>
      <w:r w:rsidR="004D1867" w:rsidRPr="004D1867">
        <w:t>”</w:t>
      </w:r>
      <w:r w:rsidR="004D1867">
        <w:t>.</w:t>
      </w:r>
    </w:p>
    <w:p w14:paraId="56E3B846" w14:textId="3CBAB941" w:rsidR="00463675" w:rsidRPr="004D1867" w:rsidRDefault="00463675" w:rsidP="000F4E43">
      <w:pPr>
        <w:pStyle w:val="Title"/>
      </w:pPr>
      <w:r w:rsidRPr="004D1867">
        <w:t>Release:</w:t>
      </w:r>
      <w:r w:rsidRPr="004D1867">
        <w:tab/>
      </w:r>
      <w:r w:rsidR="00D70FB9">
        <w:t>Rel-15</w:t>
      </w:r>
    </w:p>
    <w:p w14:paraId="792135A2" w14:textId="0C51004E" w:rsidR="00463675" w:rsidRPr="004D1867" w:rsidRDefault="00463675" w:rsidP="000F4E43">
      <w:pPr>
        <w:pStyle w:val="Title"/>
      </w:pPr>
      <w:r w:rsidRPr="004D1867">
        <w:t>Work Item:</w:t>
      </w:r>
      <w:r w:rsidRPr="004D1867">
        <w:tab/>
      </w:r>
      <w:r w:rsidR="00D70FB9">
        <w:t>EDCE5, LI-15</w:t>
      </w:r>
    </w:p>
    <w:p w14:paraId="0A1390C0" w14:textId="77777777" w:rsidR="00463675" w:rsidRPr="004D18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040BAE5" w:rsidR="00463675" w:rsidRPr="004D1867" w:rsidRDefault="00463675" w:rsidP="000F4E43">
      <w:pPr>
        <w:pStyle w:val="Source"/>
      </w:pPr>
      <w:r w:rsidRPr="004D1867">
        <w:t>Source:</w:t>
      </w:r>
      <w:r w:rsidRPr="004D1867">
        <w:tab/>
      </w:r>
      <w:r w:rsidR="001C7DF5">
        <w:t>TSG-SA</w:t>
      </w:r>
    </w:p>
    <w:p w14:paraId="6AF9910D" w14:textId="12F8E238" w:rsidR="00463675" w:rsidRPr="004D1867" w:rsidRDefault="00463675" w:rsidP="000F4E43">
      <w:pPr>
        <w:pStyle w:val="Source"/>
      </w:pPr>
      <w:r w:rsidRPr="004D1867">
        <w:t>To:</w:t>
      </w:r>
      <w:r w:rsidRPr="004D1867">
        <w:tab/>
      </w:r>
      <w:r w:rsidR="001C7DF5">
        <w:t>SA WG2, SA WG3-LI</w:t>
      </w:r>
    </w:p>
    <w:p w14:paraId="033E954A" w14:textId="7E353716" w:rsidR="00463675" w:rsidRPr="004D1867" w:rsidRDefault="00463675" w:rsidP="000F4E43">
      <w:pPr>
        <w:pStyle w:val="Source"/>
      </w:pPr>
      <w:r w:rsidRPr="004D1867">
        <w:t>Cc:</w:t>
      </w:r>
      <w:r w:rsidRPr="004D1867">
        <w:tab/>
      </w:r>
      <w:r w:rsidR="00FA6EA8">
        <w:t>TSG-RAN, RAN WG3</w:t>
      </w:r>
    </w:p>
    <w:p w14:paraId="12F1EB36" w14:textId="77777777" w:rsidR="00463675" w:rsidRPr="004D1867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84342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1C7DF5">
        <w:t xml:space="preserve"> Adrian Neal</w:t>
      </w:r>
      <w:r w:rsidRPr="000F4E43">
        <w:rPr>
          <w:bCs/>
        </w:rPr>
        <w:tab/>
      </w:r>
    </w:p>
    <w:p w14:paraId="5836C680" w14:textId="05A81BC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C7DF5">
        <w:t>E-mail Address:</w:t>
      </w:r>
      <w:r w:rsidR="00652783">
        <w:t xml:space="preserve"> </w:t>
      </w:r>
      <w:proofErr w:type="spellStart"/>
      <w:proofErr w:type="gramStart"/>
      <w:r w:rsidR="001C7DF5" w:rsidRPr="001C7DF5">
        <w:rPr>
          <w:bCs/>
        </w:rPr>
        <w:t>adrian</w:t>
      </w:r>
      <w:proofErr w:type="spellEnd"/>
      <w:proofErr w:type="gramEnd"/>
      <w:r w:rsidR="001C7DF5" w:rsidRPr="001C7DF5">
        <w:rPr>
          <w:bCs/>
        </w:rPr>
        <w:t xml:space="preserve"> (dot) </w:t>
      </w:r>
      <w:proofErr w:type="spellStart"/>
      <w:r w:rsidR="001C7DF5" w:rsidRPr="001C7DF5">
        <w:rPr>
          <w:bCs/>
        </w:rPr>
        <w:t>neal</w:t>
      </w:r>
      <w:proofErr w:type="spellEnd"/>
      <w:r w:rsidR="001C7DF5" w:rsidRPr="001C7DF5">
        <w:rPr>
          <w:bCs/>
        </w:rPr>
        <w:t xml:space="preserve"> (at) </w:t>
      </w:r>
      <w:proofErr w:type="spellStart"/>
      <w:r w:rsidR="001C7DF5" w:rsidRPr="001C7DF5">
        <w:rPr>
          <w:bCs/>
        </w:rPr>
        <w:t>vodafone</w:t>
      </w:r>
      <w:proofErr w:type="spellEnd"/>
      <w:r w:rsidR="001C7DF5" w:rsidRPr="001C7DF5">
        <w:rPr>
          <w:bCs/>
        </w:rPr>
        <w:t xml:space="preserve"> (dot) 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3041607" w:rsidR="00463675" w:rsidRPr="001C7DF5" w:rsidRDefault="00463675" w:rsidP="000F4E43">
      <w:pPr>
        <w:pStyle w:val="Title"/>
      </w:pPr>
      <w:r w:rsidRPr="000F4E43">
        <w:t>Attachments:</w:t>
      </w:r>
      <w:r w:rsidRPr="000F4E43">
        <w:tab/>
      </w:r>
      <w:r w:rsidR="001C7DF5">
        <w:t>None</w:t>
      </w:r>
    </w:p>
    <w:p w14:paraId="6C05A70A" w14:textId="77777777" w:rsidR="00463675" w:rsidRPr="001C7DF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1C7DF5" w:rsidRDefault="00463675">
      <w:pPr>
        <w:rPr>
          <w:rFonts w:ascii="Arial" w:hAnsi="Arial" w:cs="Arial"/>
        </w:rPr>
      </w:pPr>
    </w:p>
    <w:p w14:paraId="2706FF1E" w14:textId="77777777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>1. Overall Description:</w:t>
      </w:r>
    </w:p>
    <w:p w14:paraId="1796BB60" w14:textId="472CEBBA" w:rsidR="00B17FAE" w:rsidRDefault="0065278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TSG-SA has approved the </w:t>
      </w:r>
      <w:r w:rsidR="00B17FAE">
        <w:rPr>
          <w:rFonts w:ascii="Arial" w:hAnsi="Arial" w:cs="Arial"/>
        </w:rPr>
        <w:t>following</w:t>
      </w:r>
      <w:r>
        <w:rPr>
          <w:rFonts w:ascii="Arial" w:hAnsi="Arial" w:cs="Arial"/>
        </w:rPr>
        <w:t xml:space="preserve"> SA2 CRs in order to give operators</w:t>
      </w:r>
      <w:r w:rsidR="00B17FAE">
        <w:rPr>
          <w:rFonts w:ascii="Arial" w:hAnsi="Arial" w:cs="Arial"/>
        </w:rPr>
        <w:t xml:space="preserve"> the fullest toolkit to select from when complying with Lawful Intercept requests</w:t>
      </w:r>
      <w:r w:rsidR="008C7468">
        <w:rPr>
          <w:rFonts w:ascii="Arial" w:hAnsi="Arial" w:cs="Arial"/>
        </w:rPr>
        <w:t>. Such requests</w:t>
      </w:r>
      <w:r w:rsidR="00B17FAE">
        <w:rPr>
          <w:rFonts w:ascii="Arial" w:hAnsi="Arial" w:cs="Arial"/>
        </w:rPr>
        <w:t xml:space="preserve"> may take different forms at different times in different territories.</w:t>
      </w:r>
    </w:p>
    <w:p w14:paraId="4BCB1D4C" w14:textId="77777777" w:rsidR="00B17FAE" w:rsidRDefault="00B17FAE">
      <w:pPr>
        <w:rPr>
          <w:rFonts w:ascii="Arial" w:hAnsi="Arial" w:cs="Arial"/>
        </w:rPr>
      </w:pPr>
    </w:p>
    <w:p w14:paraId="25D77FD0" w14:textId="3457B09D" w:rsidR="00B55028" w:rsidRPr="000A0A42" w:rsidRDefault="00B55028" w:rsidP="000A0A42">
      <w:pPr>
        <w:pStyle w:val="ListParagraph"/>
        <w:numPr>
          <w:ilvl w:val="0"/>
          <w:numId w:val="15"/>
        </w:numPr>
        <w:rPr>
          <w:rFonts w:ascii="Arial" w:hAnsi="Arial" w:cs="Arial"/>
          <w:iCs/>
        </w:rPr>
      </w:pPr>
      <w:r w:rsidRPr="000A0A42">
        <w:rPr>
          <w:rFonts w:ascii="Arial" w:hAnsi="Arial" w:cs="Arial"/>
          <w:iCs/>
        </w:rPr>
        <w:t>S2-1906165 from SA2#133 in Reno.</w:t>
      </w:r>
    </w:p>
    <w:p w14:paraId="47D7D09F" w14:textId="322998FA" w:rsidR="001259B1" w:rsidRDefault="00B55028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TSG-SA#84 discussed and concluded that the mandatory provisions in this</w:t>
      </w:r>
      <w:r w:rsidR="001259B1">
        <w:rPr>
          <w:rFonts w:ascii="Arial" w:hAnsi="Arial" w:cs="Arial"/>
          <w:iCs/>
        </w:rPr>
        <w:t xml:space="preserve"> C</w:t>
      </w:r>
      <w:r>
        <w:rPr>
          <w:rFonts w:ascii="Arial" w:hAnsi="Arial" w:cs="Arial"/>
          <w:iCs/>
        </w:rPr>
        <w:t xml:space="preserve">R will cater for a large number of cases by </w:t>
      </w:r>
      <w:r w:rsidR="008C7468">
        <w:rPr>
          <w:rFonts w:ascii="Arial" w:hAnsi="Arial" w:cs="Arial"/>
          <w:iCs/>
        </w:rPr>
        <w:t>making</w:t>
      </w:r>
      <w:r>
        <w:rPr>
          <w:rFonts w:ascii="Arial" w:hAnsi="Arial" w:cs="Arial"/>
          <w:iCs/>
        </w:rPr>
        <w:t xml:space="preserve"> </w:t>
      </w:r>
      <w:r w:rsidR="001259B1">
        <w:rPr>
          <w:rFonts w:ascii="Arial" w:hAnsi="Arial" w:cs="Arial"/>
          <w:iCs/>
        </w:rPr>
        <w:t>relevant</w:t>
      </w:r>
      <w:r w:rsidR="008C7468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 xml:space="preserve">secondary cell </w:t>
      </w:r>
      <w:r w:rsidR="008C7468">
        <w:rPr>
          <w:rFonts w:ascii="Arial" w:hAnsi="Arial" w:cs="Arial"/>
          <w:iCs/>
        </w:rPr>
        <w:t xml:space="preserve">IDs available most of the time. However, concerns </w:t>
      </w:r>
      <w:proofErr w:type="gramStart"/>
      <w:r w:rsidR="008C7468">
        <w:rPr>
          <w:rFonts w:ascii="Arial" w:hAnsi="Arial" w:cs="Arial"/>
          <w:iCs/>
        </w:rPr>
        <w:t>were expressed</w:t>
      </w:r>
      <w:proofErr w:type="gramEnd"/>
      <w:r w:rsidR="008C7468">
        <w:rPr>
          <w:rFonts w:ascii="Arial" w:hAnsi="Arial" w:cs="Arial"/>
          <w:iCs/>
        </w:rPr>
        <w:t xml:space="preserve"> that </w:t>
      </w:r>
      <w:r w:rsidR="001259B1">
        <w:rPr>
          <w:rFonts w:ascii="Arial" w:hAnsi="Arial" w:cs="Arial"/>
          <w:iCs/>
        </w:rPr>
        <w:t xml:space="preserve">this method would need to be extended </w:t>
      </w:r>
      <w:r w:rsidR="008C7468">
        <w:rPr>
          <w:rFonts w:ascii="Arial" w:hAnsi="Arial" w:cs="Arial"/>
          <w:iCs/>
        </w:rPr>
        <w:t>in</w:t>
      </w:r>
      <w:r w:rsidR="001259B1">
        <w:rPr>
          <w:rFonts w:ascii="Arial" w:hAnsi="Arial" w:cs="Arial"/>
          <w:iCs/>
        </w:rPr>
        <w:t xml:space="preserve"> order to satisfy</w:t>
      </w:r>
      <w:r w:rsidR="008C7468">
        <w:rPr>
          <w:rFonts w:ascii="Arial" w:hAnsi="Arial" w:cs="Arial"/>
          <w:iCs/>
        </w:rPr>
        <w:t xml:space="preserve"> “Life at Risk” situations</w:t>
      </w:r>
      <w:r w:rsidR="001259B1">
        <w:rPr>
          <w:rFonts w:ascii="Arial" w:hAnsi="Arial" w:cs="Arial"/>
          <w:iCs/>
        </w:rPr>
        <w:t>.</w:t>
      </w:r>
      <w:r w:rsidR="008C7468">
        <w:rPr>
          <w:rFonts w:ascii="Arial" w:hAnsi="Arial" w:cs="Arial"/>
          <w:iCs/>
        </w:rPr>
        <w:t xml:space="preserve"> </w:t>
      </w:r>
      <w:r w:rsidR="00934D27">
        <w:rPr>
          <w:rFonts w:ascii="Arial" w:hAnsi="Arial" w:cs="Arial"/>
          <w:iCs/>
        </w:rPr>
        <w:t xml:space="preserve">This CR </w:t>
      </w:r>
      <w:proofErr w:type="gramStart"/>
      <w:r w:rsidR="00252F47">
        <w:rPr>
          <w:rFonts w:ascii="Arial" w:hAnsi="Arial" w:cs="Arial"/>
          <w:iCs/>
        </w:rPr>
        <w:t>can be used</w:t>
      </w:r>
      <w:proofErr w:type="gramEnd"/>
      <w:r w:rsidR="00252F47">
        <w:rPr>
          <w:rFonts w:ascii="Arial" w:hAnsi="Arial" w:cs="Arial"/>
          <w:iCs/>
        </w:rPr>
        <w:t xml:space="preserve"> when not all cell IDs need to be reported and the </w:t>
      </w:r>
      <w:r w:rsidR="000F1720">
        <w:rPr>
          <w:rFonts w:ascii="Arial" w:hAnsi="Arial" w:cs="Arial"/>
          <w:iCs/>
        </w:rPr>
        <w:t xml:space="preserve">lowest </w:t>
      </w:r>
      <w:r w:rsidR="00252F47">
        <w:rPr>
          <w:rFonts w:ascii="Arial" w:hAnsi="Arial" w:cs="Arial"/>
          <w:iCs/>
        </w:rPr>
        <w:t xml:space="preserve">frequency of reporting for a UE is </w:t>
      </w:r>
      <w:r w:rsidR="00512CF5">
        <w:rPr>
          <w:rFonts w:ascii="Arial" w:hAnsi="Arial" w:cs="Arial"/>
          <w:iCs/>
        </w:rPr>
        <w:t>lower</w:t>
      </w:r>
      <w:r w:rsidR="00252F47">
        <w:rPr>
          <w:rFonts w:ascii="Arial" w:hAnsi="Arial" w:cs="Arial"/>
          <w:iCs/>
        </w:rPr>
        <w:t xml:space="preserve"> bounded by the TA update frequency. </w:t>
      </w:r>
      <w:r w:rsidR="000F30CA">
        <w:rPr>
          <w:rFonts w:ascii="Arial" w:hAnsi="Arial" w:cs="Arial"/>
          <w:iCs/>
        </w:rPr>
        <w:t xml:space="preserve">While this solution </w:t>
      </w:r>
      <w:proofErr w:type="gramStart"/>
      <w:r w:rsidR="000F30CA">
        <w:rPr>
          <w:rFonts w:ascii="Arial" w:hAnsi="Arial" w:cs="Arial"/>
          <w:iCs/>
        </w:rPr>
        <w:t>may be activated</w:t>
      </w:r>
      <w:proofErr w:type="gramEnd"/>
      <w:r w:rsidR="000F30CA">
        <w:rPr>
          <w:rFonts w:ascii="Arial" w:hAnsi="Arial" w:cs="Arial"/>
          <w:iCs/>
        </w:rPr>
        <w:t xml:space="preserve"> for</w:t>
      </w:r>
      <w:r w:rsidR="00934D27">
        <w:rPr>
          <w:rFonts w:ascii="Arial" w:hAnsi="Arial" w:cs="Arial"/>
          <w:iCs/>
        </w:rPr>
        <w:t xml:space="preserve"> </w:t>
      </w:r>
      <w:r w:rsidR="00A0230E">
        <w:rPr>
          <w:rFonts w:ascii="Arial" w:hAnsi="Arial" w:cs="Arial"/>
          <w:iCs/>
        </w:rPr>
        <w:t xml:space="preserve">all </w:t>
      </w:r>
      <w:r w:rsidR="00934D27">
        <w:rPr>
          <w:rFonts w:ascii="Arial" w:hAnsi="Arial" w:cs="Arial"/>
          <w:iCs/>
        </w:rPr>
        <w:t>UEs</w:t>
      </w:r>
      <w:r w:rsidR="000F30CA">
        <w:rPr>
          <w:rFonts w:ascii="Arial" w:hAnsi="Arial" w:cs="Arial"/>
          <w:iCs/>
        </w:rPr>
        <w:t>, this feature may not enable reporting all secondary cell changes and in the worst case report only the ECGIs of the Cells at the interval of the TA update timer.</w:t>
      </w:r>
      <w:r w:rsidR="00695CBE">
        <w:rPr>
          <w:rFonts w:ascii="Arial" w:hAnsi="Arial" w:cs="Arial"/>
          <w:iCs/>
        </w:rPr>
        <w:t xml:space="preserve">  A similar capability is still required for </w:t>
      </w:r>
      <w:r w:rsidR="0020654C">
        <w:rPr>
          <w:rFonts w:ascii="Arial" w:hAnsi="Arial" w:cs="Arial"/>
          <w:iCs/>
        </w:rPr>
        <w:t>5GS</w:t>
      </w:r>
      <w:r w:rsidR="00695CBE">
        <w:rPr>
          <w:rFonts w:ascii="Arial" w:hAnsi="Arial" w:cs="Arial"/>
          <w:iCs/>
        </w:rPr>
        <w:t>.</w:t>
      </w:r>
    </w:p>
    <w:p w14:paraId="59328405" w14:textId="77777777" w:rsidR="000F30CA" w:rsidRDefault="000F30CA">
      <w:pPr>
        <w:rPr>
          <w:rFonts w:ascii="Arial" w:hAnsi="Arial" w:cs="Arial"/>
          <w:iCs/>
        </w:rPr>
      </w:pPr>
    </w:p>
    <w:p w14:paraId="2D3BA29D" w14:textId="1624E39B" w:rsidR="00463675" w:rsidRPr="000A0A42" w:rsidRDefault="00B55028" w:rsidP="000A0A42">
      <w:pPr>
        <w:pStyle w:val="ListParagraph"/>
        <w:numPr>
          <w:ilvl w:val="0"/>
          <w:numId w:val="15"/>
        </w:numPr>
        <w:rPr>
          <w:rFonts w:ascii="Arial" w:hAnsi="Arial" w:cs="Arial"/>
          <w:iCs/>
        </w:rPr>
      </w:pPr>
      <w:r w:rsidRPr="000A0A42">
        <w:rPr>
          <w:rFonts w:ascii="Arial" w:hAnsi="Arial" w:cs="Arial"/>
          <w:iCs/>
        </w:rPr>
        <w:t xml:space="preserve">S2-1904832 and S2-1904834 from SA2#132 in </w:t>
      </w:r>
      <w:proofErr w:type="spellStart"/>
      <w:r w:rsidRPr="000A0A42">
        <w:rPr>
          <w:rFonts w:ascii="Arial" w:hAnsi="Arial" w:cs="Arial"/>
          <w:iCs/>
        </w:rPr>
        <w:t>Xi’An</w:t>
      </w:r>
      <w:proofErr w:type="spellEnd"/>
      <w:r w:rsidRPr="000A0A42">
        <w:rPr>
          <w:rFonts w:ascii="Arial" w:hAnsi="Arial" w:cs="Arial"/>
          <w:iCs/>
        </w:rPr>
        <w:t>.</w:t>
      </w:r>
    </w:p>
    <w:p w14:paraId="7E841633" w14:textId="6BFD7259" w:rsidR="000A0A42" w:rsidRDefault="001259B1" w:rsidP="00A5465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TSG-SA#84 discussed and concluded that </w:t>
      </w:r>
      <w:r w:rsidR="003234E6">
        <w:rPr>
          <w:rFonts w:ascii="Arial" w:hAnsi="Arial" w:cs="Arial"/>
          <w:iCs/>
        </w:rPr>
        <w:t xml:space="preserve">when applied to Lawful </w:t>
      </w:r>
      <w:r w:rsidR="00A54655">
        <w:rPr>
          <w:rFonts w:ascii="Arial" w:hAnsi="Arial" w:cs="Arial"/>
          <w:iCs/>
        </w:rPr>
        <w:t>I</w:t>
      </w:r>
      <w:r w:rsidR="003234E6">
        <w:rPr>
          <w:rFonts w:ascii="Arial" w:hAnsi="Arial" w:cs="Arial"/>
          <w:iCs/>
        </w:rPr>
        <w:t xml:space="preserve">ntercept </w:t>
      </w:r>
      <w:r>
        <w:rPr>
          <w:rFonts w:ascii="Arial" w:hAnsi="Arial" w:cs="Arial"/>
          <w:iCs/>
        </w:rPr>
        <w:t xml:space="preserve">the optional provisions in these CRs </w:t>
      </w:r>
      <w:r w:rsidR="00A54655">
        <w:rPr>
          <w:rFonts w:ascii="Arial" w:hAnsi="Arial" w:cs="Arial"/>
          <w:iCs/>
        </w:rPr>
        <w:t xml:space="preserve">can satisfy the requirement from SA3-LI to report </w:t>
      </w:r>
      <w:r w:rsidR="00A54655" w:rsidRPr="00A54655">
        <w:rPr>
          <w:rFonts w:ascii="Arial" w:hAnsi="Arial" w:cs="Arial"/>
          <w:iCs/>
        </w:rPr>
        <w:t>the primary cell of the primary group and the primary cell of the secondary group</w:t>
      </w:r>
      <w:r w:rsidR="00A54655">
        <w:rPr>
          <w:rFonts w:ascii="Arial" w:hAnsi="Arial" w:cs="Arial"/>
          <w:iCs/>
        </w:rPr>
        <w:t xml:space="preserve"> </w:t>
      </w:r>
      <w:r w:rsidR="00A54655" w:rsidRPr="00A54655">
        <w:rPr>
          <w:rFonts w:ascii="Arial" w:hAnsi="Arial" w:cs="Arial"/>
          <w:i/>
          <w:iCs/>
          <w:u w:val="single"/>
        </w:rPr>
        <w:t>whenever</w:t>
      </w:r>
      <w:r w:rsidR="00A54655">
        <w:rPr>
          <w:rFonts w:ascii="Arial" w:hAnsi="Arial" w:cs="Arial"/>
          <w:iCs/>
        </w:rPr>
        <w:t xml:space="preserve"> the </w:t>
      </w:r>
      <w:r w:rsidR="00A54655" w:rsidRPr="00A54655">
        <w:rPr>
          <w:rFonts w:ascii="Arial" w:hAnsi="Arial" w:cs="Arial"/>
          <w:iCs/>
        </w:rPr>
        <w:t>primary cell of the primary group</w:t>
      </w:r>
      <w:r w:rsidR="00A54655">
        <w:rPr>
          <w:rFonts w:ascii="Arial" w:hAnsi="Arial" w:cs="Arial"/>
          <w:iCs/>
        </w:rPr>
        <w:t xml:space="preserve"> or the secondary group </w:t>
      </w:r>
      <w:r w:rsidR="00A54655" w:rsidRPr="00A54655">
        <w:rPr>
          <w:rFonts w:ascii="Arial" w:hAnsi="Arial" w:cs="Arial"/>
          <w:iCs/>
        </w:rPr>
        <w:t>changes</w:t>
      </w:r>
      <w:r w:rsidR="00A54655">
        <w:rPr>
          <w:rFonts w:ascii="Arial" w:hAnsi="Arial" w:cs="Arial"/>
          <w:iCs/>
        </w:rPr>
        <w:t>. However, concerns were expressed that applying this to all UEs</w:t>
      </w:r>
      <w:r w:rsidR="000A0A42">
        <w:rPr>
          <w:rFonts w:ascii="Arial" w:hAnsi="Arial" w:cs="Arial"/>
          <w:iCs/>
        </w:rPr>
        <w:t xml:space="preserve"> as a way to ensure non-detectability of the LI target is likely to result in an unacceptable additional signalling load on the network. </w:t>
      </w:r>
      <w:proofErr w:type="gramStart"/>
      <w:r w:rsidR="00252F47">
        <w:rPr>
          <w:rFonts w:ascii="Arial" w:hAnsi="Arial" w:cs="Arial"/>
          <w:iCs/>
        </w:rPr>
        <w:t>So</w:t>
      </w:r>
      <w:proofErr w:type="gramEnd"/>
      <w:r w:rsidR="00252F47">
        <w:rPr>
          <w:rFonts w:ascii="Arial" w:hAnsi="Arial" w:cs="Arial"/>
          <w:iCs/>
        </w:rPr>
        <w:t xml:space="preserve"> </w:t>
      </w:r>
      <w:r w:rsidR="00702689">
        <w:rPr>
          <w:rFonts w:ascii="Arial" w:hAnsi="Arial" w:cs="Arial"/>
          <w:iCs/>
        </w:rPr>
        <w:t xml:space="preserve">the assumption is </w:t>
      </w:r>
      <w:r w:rsidR="00252F47">
        <w:rPr>
          <w:rFonts w:ascii="Arial" w:hAnsi="Arial" w:cs="Arial"/>
          <w:iCs/>
        </w:rPr>
        <w:t xml:space="preserve">that </w:t>
      </w:r>
      <w:r w:rsidR="00702689">
        <w:rPr>
          <w:rFonts w:ascii="Arial" w:hAnsi="Arial" w:cs="Arial"/>
          <w:iCs/>
        </w:rPr>
        <w:t>only</w:t>
      </w:r>
      <w:r w:rsidR="00252F47">
        <w:rPr>
          <w:rFonts w:ascii="Arial" w:hAnsi="Arial" w:cs="Arial"/>
          <w:iCs/>
        </w:rPr>
        <w:t xml:space="preserve"> a minority of the UEs in a PLMN are subject to </w:t>
      </w:r>
      <w:r w:rsidR="00E221C7">
        <w:rPr>
          <w:rFonts w:ascii="Arial" w:hAnsi="Arial" w:cs="Arial"/>
          <w:iCs/>
        </w:rPr>
        <w:t xml:space="preserve">secondary cell </w:t>
      </w:r>
      <w:r w:rsidR="00252F47">
        <w:rPr>
          <w:rFonts w:ascii="Arial" w:hAnsi="Arial" w:cs="Arial"/>
          <w:iCs/>
        </w:rPr>
        <w:t>reporting</w:t>
      </w:r>
      <w:r w:rsidR="00702689">
        <w:rPr>
          <w:rFonts w:ascii="Arial" w:hAnsi="Arial" w:cs="Arial"/>
          <w:iCs/>
        </w:rPr>
        <w:t xml:space="preserve"> in this case</w:t>
      </w:r>
      <w:r w:rsidR="00252F47">
        <w:rPr>
          <w:rFonts w:ascii="Arial" w:hAnsi="Arial" w:cs="Arial"/>
          <w:iCs/>
        </w:rPr>
        <w:t xml:space="preserve"> (e.g. 2% of all UEs)</w:t>
      </w:r>
      <w:r w:rsidR="00695CBE">
        <w:rPr>
          <w:rFonts w:ascii="Arial" w:hAnsi="Arial" w:cs="Arial"/>
          <w:iCs/>
        </w:rPr>
        <w:t>.</w:t>
      </w:r>
    </w:p>
    <w:p w14:paraId="00828C87" w14:textId="77777777" w:rsidR="00F800C7" w:rsidRDefault="00F800C7" w:rsidP="00A54655">
      <w:pPr>
        <w:rPr>
          <w:rFonts w:ascii="Arial" w:hAnsi="Arial" w:cs="Arial"/>
          <w:iCs/>
        </w:rPr>
      </w:pPr>
    </w:p>
    <w:p w14:paraId="2EF0DE7F" w14:textId="325CBC52" w:rsidR="00F64002" w:rsidRDefault="00F64002" w:rsidP="00A54655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SA3-LI </w:t>
      </w:r>
      <w:proofErr w:type="gramStart"/>
      <w:r>
        <w:rPr>
          <w:rFonts w:ascii="Arial" w:hAnsi="Arial" w:cs="Arial"/>
          <w:iCs/>
        </w:rPr>
        <w:t>is</w:t>
      </w:r>
      <w:r w:rsidR="00934D27">
        <w:rPr>
          <w:rFonts w:ascii="Arial" w:hAnsi="Arial" w:cs="Arial"/>
          <w:iCs/>
        </w:rPr>
        <w:t xml:space="preserve"> asked</w:t>
      </w:r>
      <w:proofErr w:type="gramEnd"/>
      <w:r w:rsidR="00934D27">
        <w:rPr>
          <w:rFonts w:ascii="Arial" w:hAnsi="Arial" w:cs="Arial"/>
          <w:iCs/>
        </w:rPr>
        <w:t xml:space="preserve"> to review the agreed CRs and confirm whether these mechanisms can be used individually or in combination</w:t>
      </w:r>
      <w:r w:rsidR="00A82D23">
        <w:rPr>
          <w:rFonts w:ascii="Arial" w:hAnsi="Arial" w:cs="Arial"/>
          <w:iCs/>
        </w:rPr>
        <w:t xml:space="preserve">, </w:t>
      </w:r>
      <w:r w:rsidR="00934D27">
        <w:rPr>
          <w:rFonts w:ascii="Arial" w:hAnsi="Arial" w:cs="Arial"/>
          <w:iCs/>
        </w:rPr>
        <w:t xml:space="preserve">to fulfil LI requirements. SA3-LI is asked to work with SA2 to </w:t>
      </w:r>
      <w:r w:rsidR="00A82D23">
        <w:rPr>
          <w:rFonts w:ascii="Arial" w:hAnsi="Arial" w:cs="Arial"/>
          <w:iCs/>
        </w:rPr>
        <w:t>ensure</w:t>
      </w:r>
      <w:r w:rsidR="00934D27">
        <w:rPr>
          <w:rFonts w:ascii="Arial" w:hAnsi="Arial" w:cs="Arial"/>
          <w:iCs/>
        </w:rPr>
        <w:t xml:space="preserve"> solutions to meet LI locatio</w:t>
      </w:r>
      <w:bookmarkStart w:id="0" w:name="_GoBack"/>
      <w:bookmarkEnd w:id="0"/>
      <w:r w:rsidR="00934D27">
        <w:rPr>
          <w:rFonts w:ascii="Arial" w:hAnsi="Arial" w:cs="Arial"/>
          <w:iCs/>
        </w:rPr>
        <w:t xml:space="preserve">n reporting requirements do not unduly </w:t>
      </w:r>
      <w:proofErr w:type="gramStart"/>
      <w:r w:rsidR="00934D27">
        <w:rPr>
          <w:rFonts w:ascii="Arial" w:hAnsi="Arial" w:cs="Arial"/>
          <w:iCs/>
        </w:rPr>
        <w:t>impact</w:t>
      </w:r>
      <w:proofErr w:type="gramEnd"/>
      <w:r w:rsidR="00934D27">
        <w:rPr>
          <w:rFonts w:ascii="Arial" w:hAnsi="Arial" w:cs="Arial"/>
          <w:iCs/>
        </w:rPr>
        <w:t xml:space="preserve"> signalling</w:t>
      </w:r>
      <w:r w:rsidR="00A82D23">
        <w:rPr>
          <w:rFonts w:ascii="Arial" w:hAnsi="Arial" w:cs="Arial"/>
          <w:iCs/>
        </w:rPr>
        <w:t xml:space="preserve"> load in </w:t>
      </w:r>
      <w:r w:rsidR="00E221C7">
        <w:rPr>
          <w:rFonts w:ascii="Arial" w:hAnsi="Arial" w:cs="Arial"/>
          <w:iCs/>
        </w:rPr>
        <w:t xml:space="preserve">the </w:t>
      </w:r>
      <w:r w:rsidR="00A82D23">
        <w:rPr>
          <w:rFonts w:ascii="Arial" w:hAnsi="Arial" w:cs="Arial"/>
          <w:iCs/>
        </w:rPr>
        <w:t>RAN or Core network.</w:t>
      </w:r>
      <w:r w:rsidR="00934D27">
        <w:rPr>
          <w:rFonts w:ascii="Arial" w:hAnsi="Arial" w:cs="Arial"/>
          <w:iCs/>
        </w:rPr>
        <w:t xml:space="preserve"> </w:t>
      </w:r>
      <w:r w:rsidR="006759D0">
        <w:rPr>
          <w:rFonts w:ascii="Arial" w:hAnsi="Arial" w:cs="Arial"/>
          <w:iCs/>
        </w:rPr>
        <w:t>TSG-</w:t>
      </w:r>
      <w:proofErr w:type="gramStart"/>
      <w:r w:rsidR="00F800C7">
        <w:rPr>
          <w:rFonts w:ascii="Arial" w:hAnsi="Arial" w:cs="Arial"/>
          <w:iCs/>
        </w:rPr>
        <w:t>SA  consider</w:t>
      </w:r>
      <w:r w:rsidR="006759D0">
        <w:rPr>
          <w:rFonts w:ascii="Arial" w:hAnsi="Arial" w:cs="Arial"/>
          <w:iCs/>
        </w:rPr>
        <w:t>s</w:t>
      </w:r>
      <w:proofErr w:type="gramEnd"/>
      <w:r w:rsidR="00F800C7">
        <w:rPr>
          <w:rFonts w:ascii="Arial" w:hAnsi="Arial" w:cs="Arial"/>
          <w:iCs/>
        </w:rPr>
        <w:t xml:space="preserve"> that both of the solutions (1) and (2) as described above do not unduly impact network signalling load.</w:t>
      </w:r>
    </w:p>
    <w:p w14:paraId="4DA38565" w14:textId="15415B3F" w:rsidR="00D1087D" w:rsidRDefault="00D1087D" w:rsidP="00A54655">
      <w:pPr>
        <w:rPr>
          <w:rFonts w:ascii="Arial" w:hAnsi="Arial" w:cs="Arial"/>
          <w:iCs/>
        </w:rPr>
      </w:pPr>
    </w:p>
    <w:p w14:paraId="535ADED4" w14:textId="0FAB3C1E" w:rsidR="00D1087D" w:rsidRPr="00D1087D" w:rsidRDefault="00D1087D" w:rsidP="00D1087D">
      <w:pPr>
        <w:rPr>
          <w:rFonts w:ascii="Arial" w:hAnsi="Arial" w:cs="Arial"/>
          <w:iCs/>
        </w:rPr>
      </w:pPr>
      <w:r w:rsidRPr="00D1087D">
        <w:rPr>
          <w:rFonts w:ascii="Arial" w:hAnsi="Arial" w:cs="Arial"/>
          <w:iCs/>
        </w:rPr>
        <w:t xml:space="preserve">TSG-SA is interested to know </w:t>
      </w:r>
      <w:r w:rsidR="00B862E6">
        <w:rPr>
          <w:rFonts w:ascii="Arial" w:hAnsi="Arial" w:cs="Arial"/>
          <w:iCs/>
        </w:rPr>
        <w:t>how often cell changes can be reported for</w:t>
      </w:r>
      <w:r w:rsidRPr="00D1087D">
        <w:rPr>
          <w:rFonts w:ascii="Arial" w:hAnsi="Arial" w:cs="Arial"/>
          <w:iCs/>
        </w:rPr>
        <w:t xml:space="preserve"> the method in 1) above.</w:t>
      </w:r>
    </w:p>
    <w:p w14:paraId="60234826" w14:textId="77777777" w:rsidR="00D1087D" w:rsidRPr="00D1087D" w:rsidRDefault="00D1087D" w:rsidP="00D1087D">
      <w:pPr>
        <w:rPr>
          <w:rFonts w:ascii="Arial" w:hAnsi="Arial" w:cs="Arial"/>
          <w:iCs/>
        </w:rPr>
      </w:pPr>
    </w:p>
    <w:p w14:paraId="4493D18A" w14:textId="4EB25F9B" w:rsidR="00D1087D" w:rsidRPr="00D1087D" w:rsidRDefault="00D1087D" w:rsidP="00D1087D">
      <w:pPr>
        <w:rPr>
          <w:rFonts w:ascii="Arial" w:hAnsi="Arial" w:cs="Arial"/>
          <w:iCs/>
        </w:rPr>
      </w:pPr>
      <w:r w:rsidRPr="00D1087D">
        <w:rPr>
          <w:rFonts w:ascii="Arial" w:hAnsi="Arial" w:cs="Arial"/>
          <w:iCs/>
        </w:rPr>
        <w:t>TSG-SA encourages SA2 to consider indicating in TS23.502 that the method in 2) above would result in unacceptably high signalling load if simply applied to all UEs</w:t>
      </w:r>
      <w:r w:rsidR="00B862E6">
        <w:rPr>
          <w:rFonts w:ascii="Arial" w:hAnsi="Arial" w:cs="Arial"/>
          <w:iCs/>
        </w:rPr>
        <w:t>.</w:t>
      </w:r>
      <w:r w:rsidRPr="00D1087D">
        <w:rPr>
          <w:rFonts w:ascii="Arial" w:hAnsi="Arial" w:cs="Arial"/>
          <w:iCs/>
        </w:rPr>
        <w:t xml:space="preserve"> </w:t>
      </w:r>
    </w:p>
    <w:p w14:paraId="75DA7F02" w14:textId="77777777" w:rsidR="00D1087D" w:rsidRPr="00D1087D" w:rsidRDefault="00D1087D" w:rsidP="00D1087D">
      <w:pPr>
        <w:rPr>
          <w:rFonts w:ascii="Arial" w:hAnsi="Arial" w:cs="Arial"/>
          <w:iCs/>
        </w:rPr>
      </w:pPr>
    </w:p>
    <w:p w14:paraId="0756346A" w14:textId="47719EDB" w:rsidR="00D1087D" w:rsidRDefault="00D1087D" w:rsidP="00D1087D">
      <w:pPr>
        <w:rPr>
          <w:rFonts w:ascii="Arial" w:hAnsi="Arial" w:cs="Arial"/>
          <w:iCs/>
        </w:rPr>
      </w:pPr>
      <w:r w:rsidRPr="00D1087D">
        <w:rPr>
          <w:rFonts w:ascii="Arial" w:hAnsi="Arial" w:cs="Arial"/>
          <w:iCs/>
        </w:rPr>
        <w:t xml:space="preserve">In </w:t>
      </w:r>
      <w:proofErr w:type="gramStart"/>
      <w:r w:rsidRPr="00D1087D">
        <w:rPr>
          <w:rFonts w:ascii="Arial" w:hAnsi="Arial" w:cs="Arial"/>
          <w:iCs/>
        </w:rPr>
        <w:t>addition</w:t>
      </w:r>
      <w:proofErr w:type="gramEnd"/>
      <w:r w:rsidRPr="00D1087D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TSG-</w:t>
      </w:r>
      <w:r w:rsidRPr="00D1087D">
        <w:rPr>
          <w:rFonts w:ascii="Arial" w:hAnsi="Arial" w:cs="Arial"/>
          <w:iCs/>
        </w:rPr>
        <w:t>SA noted that it should be possible to enable or disable secondary reporting of Secondary Cell information on a per UE basis.</w:t>
      </w:r>
    </w:p>
    <w:p w14:paraId="7DDEA547" w14:textId="77777777" w:rsidR="00F64002" w:rsidRDefault="00F64002" w:rsidP="00A54655">
      <w:pPr>
        <w:rPr>
          <w:rFonts w:ascii="Arial" w:hAnsi="Arial" w:cs="Arial"/>
          <w:iCs/>
        </w:rPr>
      </w:pPr>
    </w:p>
    <w:p w14:paraId="63DA267E" w14:textId="77777777" w:rsidR="00463675" w:rsidRPr="001C7DF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>2. Actions:</w:t>
      </w:r>
    </w:p>
    <w:p w14:paraId="7BF3A47C" w14:textId="3E401CF9" w:rsidR="00463675" w:rsidRPr="001C7DF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 xml:space="preserve">To </w:t>
      </w:r>
      <w:r w:rsidR="00F64002">
        <w:rPr>
          <w:rFonts w:ascii="Arial" w:hAnsi="Arial" w:cs="Arial"/>
          <w:b/>
        </w:rPr>
        <w:t>SA2</w:t>
      </w:r>
      <w:r w:rsidRPr="001C7DF5">
        <w:rPr>
          <w:rFonts w:ascii="Arial" w:hAnsi="Arial" w:cs="Arial"/>
          <w:b/>
        </w:rPr>
        <w:t>.</w:t>
      </w:r>
    </w:p>
    <w:p w14:paraId="502C5C67" w14:textId="77777777" w:rsidR="00E221C7" w:rsidRDefault="00463675">
      <w:pPr>
        <w:spacing w:after="120"/>
        <w:ind w:left="993" w:hanging="993"/>
        <w:rPr>
          <w:rFonts w:ascii="Arial" w:hAnsi="Arial" w:cs="Arial"/>
        </w:rPr>
      </w:pPr>
      <w:r w:rsidRPr="001C7DF5">
        <w:rPr>
          <w:rFonts w:ascii="Arial" w:hAnsi="Arial" w:cs="Arial"/>
          <w:b/>
        </w:rPr>
        <w:t xml:space="preserve">ACTION: </w:t>
      </w:r>
      <w:r w:rsidRPr="001C7DF5">
        <w:rPr>
          <w:rFonts w:ascii="Arial" w:hAnsi="Arial" w:cs="Arial"/>
          <w:b/>
        </w:rPr>
        <w:tab/>
      </w:r>
      <w:r w:rsidR="00F64002" w:rsidRPr="00F64002">
        <w:rPr>
          <w:rFonts w:ascii="Arial" w:hAnsi="Arial" w:cs="Arial"/>
        </w:rPr>
        <w:t>TSG-SA</w:t>
      </w:r>
      <w:r w:rsidRPr="001C7DF5">
        <w:rPr>
          <w:rFonts w:ascii="Arial" w:hAnsi="Arial" w:cs="Arial"/>
        </w:rPr>
        <w:t xml:space="preserve"> asks </w:t>
      </w:r>
      <w:r w:rsidR="00F64002">
        <w:rPr>
          <w:rFonts w:ascii="Arial" w:hAnsi="Arial" w:cs="Arial"/>
        </w:rPr>
        <w:t>SA WG2 t</w:t>
      </w:r>
      <w:r w:rsidRPr="001C7DF5">
        <w:rPr>
          <w:rFonts w:ascii="Arial" w:hAnsi="Arial" w:cs="Arial"/>
        </w:rPr>
        <w:t>o</w:t>
      </w:r>
      <w:r w:rsidR="00F64002">
        <w:rPr>
          <w:rFonts w:ascii="Arial" w:hAnsi="Arial" w:cs="Arial"/>
        </w:rPr>
        <w:t xml:space="preserve"> </w:t>
      </w:r>
      <w:r w:rsidR="00252F47">
        <w:rPr>
          <w:rFonts w:ascii="Arial" w:hAnsi="Arial" w:cs="Arial"/>
        </w:rPr>
        <w:t xml:space="preserve">take the above into account. </w:t>
      </w:r>
    </w:p>
    <w:p w14:paraId="6CFB69F1" w14:textId="443213BF" w:rsidR="00F64002" w:rsidRDefault="00F64002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SA3-</w:t>
      </w:r>
      <w:r w:rsidRPr="00F64002">
        <w:rPr>
          <w:rFonts w:ascii="Arial" w:hAnsi="Arial" w:cs="Arial"/>
          <w:b/>
        </w:rPr>
        <w:t>LI.</w:t>
      </w:r>
    </w:p>
    <w:p w14:paraId="3449AB35" w14:textId="102D2D51" w:rsidR="00463675" w:rsidRPr="00FB593E" w:rsidRDefault="00F64002" w:rsidP="00CC271F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FB593E">
        <w:rPr>
          <w:rFonts w:ascii="Arial" w:hAnsi="Arial" w:cs="Arial"/>
        </w:rPr>
        <w:t>TSG-SA asks SA WG3-LI to</w:t>
      </w:r>
      <w:r w:rsidR="00A82D23">
        <w:rPr>
          <w:rFonts w:ascii="Arial" w:hAnsi="Arial" w:cs="Arial"/>
        </w:rPr>
        <w:t xml:space="preserve"> take the above into account and confirm that LI location reporting requirements </w:t>
      </w:r>
      <w:proofErr w:type="gramStart"/>
      <w:r w:rsidR="00A82D23">
        <w:rPr>
          <w:rFonts w:ascii="Arial" w:hAnsi="Arial" w:cs="Arial"/>
        </w:rPr>
        <w:t>can be met</w:t>
      </w:r>
      <w:proofErr w:type="gramEnd"/>
      <w:r w:rsidR="00A82D23">
        <w:rPr>
          <w:rFonts w:ascii="Arial" w:hAnsi="Arial" w:cs="Arial"/>
        </w:rPr>
        <w:t xml:space="preserve"> based on the solutions provided in the above CRs</w:t>
      </w:r>
      <w:r w:rsidRPr="00FB593E">
        <w:rPr>
          <w:rFonts w:ascii="Arial" w:hAnsi="Arial" w:cs="Arial"/>
        </w:rPr>
        <w:t>.</w:t>
      </w:r>
    </w:p>
    <w:p w14:paraId="0939DFD5" w14:textId="77777777" w:rsidR="00463675" w:rsidRPr="001C7DF5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95439AC" w:rsidR="00463675" w:rsidRPr="001C7DF5" w:rsidRDefault="00463675">
      <w:pPr>
        <w:spacing w:after="120"/>
        <w:rPr>
          <w:rFonts w:ascii="Arial" w:hAnsi="Arial" w:cs="Arial"/>
          <w:b/>
        </w:rPr>
      </w:pPr>
      <w:r w:rsidRPr="001C7DF5">
        <w:rPr>
          <w:rFonts w:ascii="Arial" w:hAnsi="Arial" w:cs="Arial"/>
          <w:b/>
        </w:rPr>
        <w:t xml:space="preserve">3. Date of Next </w:t>
      </w:r>
      <w:r w:rsidR="00CC271F">
        <w:rPr>
          <w:rFonts w:ascii="Arial" w:hAnsi="Arial" w:cs="Arial"/>
          <w:b/>
        </w:rPr>
        <w:t>SA</w:t>
      </w:r>
      <w:r w:rsidRPr="001C7DF5">
        <w:rPr>
          <w:rFonts w:ascii="Arial" w:hAnsi="Arial" w:cs="Arial"/>
          <w:b/>
        </w:rPr>
        <w:t xml:space="preserve"> Meetings:</w:t>
      </w:r>
    </w:p>
    <w:p w14:paraId="0D68A011" w14:textId="516CF04C" w:rsidR="00A7348D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C7DF5">
        <w:rPr>
          <w:rFonts w:ascii="Arial" w:hAnsi="Arial" w:cs="Arial"/>
          <w:bCs/>
        </w:rPr>
        <w:t xml:space="preserve">3GPP TSG </w:t>
      </w:r>
      <w:r w:rsidR="00FB593E">
        <w:rPr>
          <w:rFonts w:ascii="Arial" w:hAnsi="Arial" w:cs="Arial"/>
          <w:bCs/>
        </w:rPr>
        <w:t>SA</w:t>
      </w:r>
      <w:r w:rsidRPr="001C7DF5">
        <w:rPr>
          <w:rFonts w:ascii="Arial" w:hAnsi="Arial" w:cs="Arial"/>
          <w:bCs/>
        </w:rPr>
        <w:t>#</w:t>
      </w:r>
      <w:r w:rsidR="00FB593E">
        <w:rPr>
          <w:rFonts w:ascii="Arial" w:hAnsi="Arial" w:cs="Arial"/>
          <w:bCs/>
        </w:rPr>
        <w:t>85</w:t>
      </w:r>
      <w:r w:rsidRPr="001C7DF5">
        <w:rPr>
          <w:rFonts w:ascii="Arial" w:hAnsi="Arial" w:cs="Arial"/>
          <w:bCs/>
        </w:rPr>
        <w:tab/>
      </w:r>
      <w:r w:rsidR="0070102E" w:rsidRPr="001C7DF5">
        <w:rPr>
          <w:rFonts w:ascii="Arial" w:hAnsi="Arial" w:cs="Arial"/>
          <w:bCs/>
        </w:rPr>
        <w:t>1</w:t>
      </w:r>
      <w:r w:rsidR="00FB593E">
        <w:rPr>
          <w:rFonts w:ascii="Arial" w:hAnsi="Arial" w:cs="Arial"/>
          <w:bCs/>
        </w:rPr>
        <w:t>8</w:t>
      </w:r>
      <w:r w:rsidRPr="001C7DF5">
        <w:rPr>
          <w:rFonts w:ascii="Arial" w:hAnsi="Arial" w:cs="Arial"/>
          <w:bCs/>
          <w:vertAlign w:val="superscript"/>
        </w:rPr>
        <w:t>th</w:t>
      </w:r>
      <w:r w:rsidRPr="001C7DF5">
        <w:rPr>
          <w:rFonts w:ascii="Arial" w:hAnsi="Arial" w:cs="Arial"/>
          <w:bCs/>
        </w:rPr>
        <w:t xml:space="preserve"> – </w:t>
      </w:r>
      <w:r w:rsidR="00FB593E">
        <w:rPr>
          <w:rFonts w:ascii="Arial" w:hAnsi="Arial" w:cs="Arial"/>
          <w:bCs/>
        </w:rPr>
        <w:t>20</w:t>
      </w:r>
      <w:r w:rsidRPr="001C7DF5">
        <w:rPr>
          <w:rFonts w:ascii="Arial" w:hAnsi="Arial" w:cs="Arial"/>
          <w:bCs/>
          <w:vertAlign w:val="superscript"/>
        </w:rPr>
        <w:t>th</w:t>
      </w:r>
      <w:r w:rsidRPr="001C7DF5">
        <w:rPr>
          <w:rFonts w:ascii="Arial" w:hAnsi="Arial" w:cs="Arial"/>
          <w:bCs/>
        </w:rPr>
        <w:t xml:space="preserve"> </w:t>
      </w:r>
      <w:r w:rsidR="0070102E" w:rsidRPr="001C7DF5">
        <w:rPr>
          <w:rFonts w:ascii="Arial" w:hAnsi="Arial" w:cs="Arial"/>
          <w:bCs/>
        </w:rPr>
        <w:t>September</w:t>
      </w:r>
      <w:r w:rsidRPr="001C7DF5">
        <w:rPr>
          <w:rFonts w:ascii="Arial" w:hAnsi="Arial" w:cs="Arial"/>
          <w:bCs/>
        </w:rPr>
        <w:t xml:space="preserve"> 2019</w:t>
      </w:r>
      <w:r w:rsidRPr="001C7DF5">
        <w:rPr>
          <w:rFonts w:ascii="Arial" w:hAnsi="Arial" w:cs="Arial"/>
          <w:bCs/>
        </w:rPr>
        <w:tab/>
      </w:r>
      <w:r w:rsidR="0070102E" w:rsidRPr="001C7DF5">
        <w:rPr>
          <w:rFonts w:ascii="Arial" w:hAnsi="Arial" w:cs="Arial"/>
          <w:bCs/>
        </w:rPr>
        <w:t>Newport Beach, US</w:t>
      </w:r>
    </w:p>
    <w:p w14:paraId="5B4B6428" w14:textId="3AEDAE9B" w:rsidR="00FB593E" w:rsidRPr="001C7DF5" w:rsidRDefault="00FB593E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SA#86</w:t>
      </w:r>
      <w:r>
        <w:rPr>
          <w:rFonts w:ascii="Arial" w:hAnsi="Arial" w:cs="Arial"/>
          <w:bCs/>
        </w:rPr>
        <w:tab/>
        <w:t>11</w:t>
      </w:r>
      <w:r w:rsidRPr="00FB593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-13</w:t>
      </w:r>
      <w:r w:rsidRPr="00FB593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December 2019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Sitges</w:t>
      </w:r>
      <w:proofErr w:type="spellEnd"/>
      <w:r>
        <w:rPr>
          <w:rFonts w:ascii="Arial" w:hAnsi="Arial" w:cs="Arial"/>
          <w:bCs/>
        </w:rPr>
        <w:t>, ES</w:t>
      </w:r>
    </w:p>
    <w:p w14:paraId="1E0DAB12" w14:textId="77777777" w:rsidR="00A7348D" w:rsidRPr="001C7DF5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1C7DF5" w:rsidSect="000F4E43">
      <w:footerReference w:type="default" r:id="rId8"/>
      <w:footerReference w:type="first" r:id="rId9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942EE0" w14:textId="77777777" w:rsidR="00803E72" w:rsidRDefault="00803E72">
      <w:r>
        <w:separator/>
      </w:r>
    </w:p>
  </w:endnote>
  <w:endnote w:type="continuationSeparator" w:id="0">
    <w:p w14:paraId="24CBA506" w14:textId="77777777" w:rsidR="00803E72" w:rsidRDefault="00803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DAE4B" w14:textId="41B33471" w:rsidR="004D1867" w:rsidRDefault="004D186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6806F36" wp14:editId="40A2D43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dfec48d883dcd4851147b395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E3BA6" w14:textId="4A462242" w:rsidR="004D1867" w:rsidRPr="004D1867" w:rsidRDefault="00572703" w:rsidP="004D186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66806F36" id="_x0000_t202" coordsize="21600,21600" o:spt="202" path="m,l,21600r21600,l21600,xe">
              <v:stroke joinstyle="miter"/>
              <v:path gradientshapeok="t" o:connecttype="rect"/>
            </v:shapetype>
            <v:shape id="MSIPCMdfec48d883dcd4851147b395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" o:allowincell="f" filled="f" stroked="f">
              <v:textbox inset="20pt,0,,0">
                <w:txbxContent>
                  <w:p w14:paraId="569E3BA6" w14:textId="4A462242" w:rsidR="004D1867" w:rsidRPr="004D1867" w:rsidRDefault="00572703" w:rsidP="004D186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758889" w14:textId="3694036B" w:rsidR="004D1867" w:rsidRDefault="004D186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C030C6C" wp14:editId="7ACD71CF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3d24bc294a4995103be8e66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775879" w14:textId="6C3F7D1D" w:rsidR="004D1867" w:rsidRPr="004D1867" w:rsidRDefault="00572703" w:rsidP="004D186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4C030C6C" id="_x0000_t202" coordsize="21600,21600" o:spt="202" path="m,l,21600r21600,l21600,xe">
              <v:stroke joinstyle="miter"/>
              <v:path gradientshapeok="t" o:connecttype="rect"/>
            </v:shapetype>
            <v:shape id="MSIPCMb3d24bc294a4995103be8e66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" o:allowincell="f" filled="f" stroked="f">
              <v:textbox inset="20pt,0,,0">
                <w:txbxContent>
                  <w:p w14:paraId="26775879" w14:textId="6C3F7D1D" w:rsidR="004D1867" w:rsidRPr="004D1867" w:rsidRDefault="00572703" w:rsidP="004D186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2ABA4E" w14:textId="77777777" w:rsidR="00803E72" w:rsidRDefault="00803E72">
      <w:r>
        <w:separator/>
      </w:r>
    </w:p>
  </w:footnote>
  <w:footnote w:type="continuationSeparator" w:id="0">
    <w:p w14:paraId="7E23D2D5" w14:textId="77777777" w:rsidR="00803E72" w:rsidRDefault="00803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31E018A"/>
    <w:multiLevelType w:val="hybridMultilevel"/>
    <w:tmpl w:val="2B2226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0D02"/>
    <w:rsid w:val="00037C3F"/>
    <w:rsid w:val="0005430B"/>
    <w:rsid w:val="00061538"/>
    <w:rsid w:val="000A0A42"/>
    <w:rsid w:val="000F1720"/>
    <w:rsid w:val="000F30CA"/>
    <w:rsid w:val="000F4E43"/>
    <w:rsid w:val="001259B1"/>
    <w:rsid w:val="001C7DF5"/>
    <w:rsid w:val="0020654C"/>
    <w:rsid w:val="00252F47"/>
    <w:rsid w:val="00287CE6"/>
    <w:rsid w:val="003234E6"/>
    <w:rsid w:val="00354BC0"/>
    <w:rsid w:val="004234FF"/>
    <w:rsid w:val="00463675"/>
    <w:rsid w:val="00491DB7"/>
    <w:rsid w:val="004B43FA"/>
    <w:rsid w:val="004C3F5A"/>
    <w:rsid w:val="004C4DCF"/>
    <w:rsid w:val="004D1867"/>
    <w:rsid w:val="00512CF5"/>
    <w:rsid w:val="00531CEA"/>
    <w:rsid w:val="00570023"/>
    <w:rsid w:val="00572703"/>
    <w:rsid w:val="00584B08"/>
    <w:rsid w:val="00652783"/>
    <w:rsid w:val="006759D0"/>
    <w:rsid w:val="00695CBE"/>
    <w:rsid w:val="0070102E"/>
    <w:rsid w:val="00702689"/>
    <w:rsid w:val="007116E4"/>
    <w:rsid w:val="00715919"/>
    <w:rsid w:val="00726FC3"/>
    <w:rsid w:val="0077485D"/>
    <w:rsid w:val="007A4FFC"/>
    <w:rsid w:val="00803E72"/>
    <w:rsid w:val="008C7468"/>
    <w:rsid w:val="00923E7C"/>
    <w:rsid w:val="00934D27"/>
    <w:rsid w:val="00A0230E"/>
    <w:rsid w:val="00A24CF3"/>
    <w:rsid w:val="00A54655"/>
    <w:rsid w:val="00A7348D"/>
    <w:rsid w:val="00A82D23"/>
    <w:rsid w:val="00B17FAE"/>
    <w:rsid w:val="00B27686"/>
    <w:rsid w:val="00B55028"/>
    <w:rsid w:val="00B862E6"/>
    <w:rsid w:val="00C70D3C"/>
    <w:rsid w:val="00CA2FB0"/>
    <w:rsid w:val="00CC271F"/>
    <w:rsid w:val="00CF30C2"/>
    <w:rsid w:val="00D1087D"/>
    <w:rsid w:val="00D70FB9"/>
    <w:rsid w:val="00D83659"/>
    <w:rsid w:val="00E15191"/>
    <w:rsid w:val="00E20604"/>
    <w:rsid w:val="00E221C7"/>
    <w:rsid w:val="00E4207B"/>
    <w:rsid w:val="00F0649B"/>
    <w:rsid w:val="00F20CD7"/>
    <w:rsid w:val="00F27C3D"/>
    <w:rsid w:val="00F64002"/>
    <w:rsid w:val="00F800C7"/>
    <w:rsid w:val="00FA6EA8"/>
    <w:rsid w:val="00FB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0A0A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2019-06-07T01:16:00Z</dcterms:created>
  <dcterms:modified xsi:type="dcterms:W3CDTF">2019-06-07T01:17:00Z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adrian.neal@vodafone.com</vt:lpwstr>
  </property>
  <property fmtid="{D5CDD505-2E9C-101B-9397-08002B2CF9AE}" pid="5" name="MSIP_Label_0359f705-2ba0-454b-9cfc-6ce5bcaac040_SetDate">
    <vt:lpwstr>2019-06-06T00:33:32.7284364Z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  <property fmtid="{D5CDD505-2E9C-101B-9397-08002B2CF9AE}" pid="10" name="_NewReviewCycle">
    <vt:lpwstr/>
  </property>
  <property fmtid="{D5CDD505-2E9C-101B-9397-08002B2CF9AE}" pid="11" name="_AdHocReviewCycleID">
    <vt:i4>368735261</vt:i4>
  </property>
  <property fmtid="{D5CDD505-2E9C-101B-9397-08002B2CF9AE}" pid="12" name="_PreviousAdHocReviewCycleID">
    <vt:i4>903365629</vt:i4>
  </property>
  <property fmtid="{D5CDD505-2E9C-101B-9397-08002B2CF9AE}" pid="13" name="_ReviewingToolsShownOnce">
    <vt:lpwstr/>
  </property>
</Properties>
</file>