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B36C0" w14:textId="106B2BAF" w:rsidR="00B37974" w:rsidRPr="00B37974" w:rsidRDefault="00B37974" w:rsidP="00B37974">
      <w:pPr>
        <w:pStyle w:val="CRCoverPage"/>
        <w:tabs>
          <w:tab w:val="right" w:pos="9638"/>
        </w:tabs>
        <w:spacing w:after="0"/>
        <w:rPr>
          <w:rFonts w:cs="Arial"/>
          <w:b/>
          <w:noProof/>
          <w:sz w:val="24"/>
          <w:lang w:val="sv-SE"/>
        </w:rPr>
      </w:pPr>
      <w:r w:rsidRPr="00B37974">
        <w:rPr>
          <w:rFonts w:cs="Arial"/>
          <w:b/>
          <w:noProof/>
          <w:sz w:val="24"/>
          <w:lang w:val="sv-SE"/>
        </w:rPr>
        <w:t>TSG SA Meeting #SP-105</w:t>
      </w:r>
      <w:r w:rsidRPr="00B37974">
        <w:rPr>
          <w:rFonts w:cs="Arial"/>
          <w:b/>
          <w:noProof/>
          <w:sz w:val="24"/>
          <w:lang w:val="sv-SE"/>
        </w:rPr>
        <w:tab/>
      </w:r>
      <w:r>
        <w:rPr>
          <w:rFonts w:cs="Arial"/>
          <w:b/>
          <w:noProof/>
          <w:sz w:val="24"/>
          <w:lang w:val="sv-SE"/>
        </w:rPr>
        <w:t>SP-241024</w:t>
      </w:r>
    </w:p>
    <w:p w14:paraId="4650071E" w14:textId="77777777" w:rsidR="00B37974" w:rsidRPr="00B37974" w:rsidRDefault="00B37974" w:rsidP="00B37974">
      <w:pPr>
        <w:pStyle w:val="CRCoverPage"/>
        <w:pBdr>
          <w:bottom w:val="single" w:sz="4" w:space="1" w:color="auto"/>
        </w:pBdr>
        <w:tabs>
          <w:tab w:val="right" w:pos="9638"/>
        </w:tabs>
        <w:spacing w:after="0"/>
        <w:rPr>
          <w:rFonts w:cs="Arial"/>
          <w:b/>
          <w:noProof/>
          <w:sz w:val="24"/>
          <w:lang w:val="sv-SE"/>
        </w:rPr>
      </w:pPr>
      <w:r w:rsidRPr="00B37974">
        <w:rPr>
          <w:rFonts w:cs="Arial"/>
          <w:b/>
          <w:noProof/>
          <w:sz w:val="24"/>
          <w:lang w:val="sv-SE"/>
        </w:rPr>
        <w:t>10 – 13 September 2024, Melbourne, Australia</w:t>
      </w:r>
    </w:p>
    <w:p w14:paraId="61C695ED" w14:textId="77777777" w:rsidR="00B37974" w:rsidRPr="003E08B2" w:rsidRDefault="00B37974" w:rsidP="00B37974">
      <w:pPr>
        <w:pStyle w:val="CRCoverPage"/>
        <w:tabs>
          <w:tab w:val="right" w:pos="9638"/>
        </w:tabs>
        <w:spacing w:after="0"/>
        <w:rPr>
          <w:rFonts w:cs="Arial"/>
          <w:b/>
          <w:noProof/>
          <w:sz w:val="24"/>
          <w:lang w:val="sv-SE"/>
        </w:rPr>
      </w:pPr>
    </w:p>
    <w:p w14:paraId="7F6363B4" w14:textId="072DD98D" w:rsidR="003E08B2" w:rsidRDefault="003E08B2" w:rsidP="003E08B2">
      <w:pPr>
        <w:pStyle w:val="CRCoverPage"/>
        <w:tabs>
          <w:tab w:val="right" w:pos="9638"/>
        </w:tabs>
        <w:spacing w:after="0"/>
        <w:rPr>
          <w:rFonts w:cs="Arial"/>
          <w:b/>
          <w:noProof/>
          <w:sz w:val="24"/>
          <w:lang w:val="sv-SE"/>
        </w:rPr>
      </w:pPr>
      <w:r>
        <w:rPr>
          <w:rFonts w:cs="Arial"/>
          <w:b/>
          <w:noProof/>
          <w:sz w:val="24"/>
          <w:lang w:val="sv-SE"/>
        </w:rPr>
        <w:t>TSG SA Meeting #SP-104</w:t>
      </w:r>
      <w:r>
        <w:rPr>
          <w:rFonts w:cs="Arial"/>
          <w:b/>
          <w:noProof/>
          <w:sz w:val="24"/>
          <w:lang w:val="sv-SE"/>
        </w:rPr>
        <w:tab/>
        <w:t>SP-240551</w:t>
      </w:r>
    </w:p>
    <w:p w14:paraId="27940201" w14:textId="77777777" w:rsidR="003E08B2" w:rsidRDefault="003E08B2" w:rsidP="003E08B2">
      <w:pPr>
        <w:pStyle w:val="CRCoverPage"/>
        <w:pBdr>
          <w:bottom w:val="single" w:sz="6" w:space="0" w:color="auto"/>
        </w:pBdr>
        <w:tabs>
          <w:tab w:val="right" w:pos="9638"/>
        </w:tabs>
        <w:spacing w:after="0"/>
        <w:rPr>
          <w:rFonts w:cs="Arial"/>
          <w:b/>
          <w:noProof/>
          <w:sz w:val="24"/>
          <w:lang w:val="sv-SE"/>
        </w:rPr>
      </w:pPr>
      <w:r>
        <w:rPr>
          <w:rFonts w:cs="Arial"/>
          <w:b/>
          <w:noProof/>
          <w:sz w:val="24"/>
          <w:lang w:val="sv-SE"/>
        </w:rPr>
        <w:t>27 - 31 June 2024, Shanghai, China</w:t>
      </w:r>
    </w:p>
    <w:p w14:paraId="569C793A" w14:textId="22F4E222" w:rsidR="003E08B2" w:rsidRPr="003E08B2" w:rsidRDefault="003E08B2" w:rsidP="003E08B2">
      <w:pPr>
        <w:pStyle w:val="CRCoverPage"/>
        <w:tabs>
          <w:tab w:val="right" w:pos="9638"/>
        </w:tabs>
        <w:spacing w:after="0"/>
        <w:rPr>
          <w:rFonts w:cs="Arial"/>
          <w:b/>
          <w:noProof/>
          <w:sz w:val="24"/>
          <w:lang w:val="sv-SE"/>
        </w:rPr>
      </w:pPr>
    </w:p>
    <w:p w14:paraId="7540F630" w14:textId="77777777" w:rsidR="003E08B2" w:rsidRDefault="003E08B2" w:rsidP="00431B50">
      <w:pPr>
        <w:pStyle w:val="CRCoverPage"/>
        <w:tabs>
          <w:tab w:val="right" w:pos="9639"/>
        </w:tabs>
        <w:spacing w:after="0"/>
        <w:rPr>
          <w:b/>
          <w:noProof/>
          <w:sz w:val="24"/>
          <w:lang w:val="sv-SE"/>
        </w:rPr>
      </w:pPr>
    </w:p>
    <w:p w14:paraId="61B96B12" w14:textId="4BE397BC"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#116</w:t>
      </w:r>
      <w:r w:rsidRPr="00DF42AF">
        <w:rPr>
          <w:b/>
          <w:i/>
          <w:noProof/>
          <w:sz w:val="28"/>
          <w:lang w:val="sv-SE"/>
        </w:rPr>
        <w:tab/>
        <w:t>S3-</w:t>
      </w:r>
      <w:r w:rsidR="00A728DB" w:rsidRPr="00DF42AF">
        <w:rPr>
          <w:b/>
          <w:i/>
          <w:noProof/>
          <w:sz w:val="28"/>
          <w:lang w:val="sv-SE"/>
        </w:rPr>
        <w:t>242374</w:t>
      </w:r>
    </w:p>
    <w:p w14:paraId="214D88AD" w14:textId="0B7CA553" w:rsidR="00431B50" w:rsidRPr="00DA53A0" w:rsidRDefault="00431B50" w:rsidP="00A728DB">
      <w:pPr>
        <w:pStyle w:val="Header"/>
        <w:tabs>
          <w:tab w:val="right" w:pos="9865"/>
        </w:tabs>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A728DB">
        <w:rPr>
          <w:sz w:val="24"/>
        </w:rPr>
        <w:tab/>
      </w:r>
    </w:p>
    <w:p w14:paraId="36812758" w14:textId="77777777" w:rsidR="00431B50" w:rsidRDefault="00431B50" w:rsidP="00431B50">
      <w:pPr>
        <w:rPr>
          <w:rFonts w:ascii="Arial" w:hAnsi="Arial" w:cs="Arial"/>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anja</w:t>
      </w:r>
      <w:proofErr w:type="spellEnd"/>
      <w:r>
        <w:rPr>
          <w:rFonts w:ascii="Arial" w:hAnsi="Arial" w:cs="Arial"/>
          <w:b/>
          <w:bCs/>
          <w:sz w:val="22"/>
          <w:szCs w:val="22"/>
        </w:rPr>
        <w:t xml:space="preserve"> dot </w:t>
      </w:r>
      <w:proofErr w:type="spellStart"/>
      <w:r>
        <w:rPr>
          <w:rFonts w:ascii="Arial" w:hAnsi="Arial" w:cs="Arial"/>
          <w:b/>
          <w:bCs/>
          <w:sz w:val="22"/>
          <w:szCs w:val="22"/>
        </w:rPr>
        <w:t>jerichow</w:t>
      </w:r>
      <w:proofErr w:type="spellEnd"/>
      <w:r>
        <w:rPr>
          <w:rFonts w:ascii="Arial" w:hAnsi="Arial" w:cs="Arial"/>
          <w:b/>
          <w:bCs/>
          <w:sz w:val="22"/>
          <w:szCs w:val="22"/>
        </w:rPr>
        <w:t xml:space="preserve"> at </w:t>
      </w:r>
      <w:proofErr w:type="spellStart"/>
      <w:r>
        <w:rPr>
          <w:rFonts w:ascii="Arial" w:hAnsi="Arial" w:cs="Arial"/>
          <w:b/>
          <w:bCs/>
          <w:sz w:val="22"/>
          <w:szCs w:val="22"/>
        </w:rPr>
        <w:t>nokia</w:t>
      </w:r>
      <w:proofErr w:type="spellEnd"/>
      <w:r>
        <w:rPr>
          <w:rFonts w:ascii="Arial" w:hAnsi="Arial" w:cs="Arial"/>
          <w:b/>
          <w:bCs/>
          <w:sz w:val="22"/>
          <w:szCs w:val="22"/>
        </w:rPr>
        <w:t xml:space="preserve">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1F17FD7C"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28457FA2" w14:textId="6AB09C8A" w:rsidR="000C61F5" w:rsidRPr="00344603" w:rsidRDefault="00431B50" w:rsidP="000C61F5">
      <w:pPr>
        <w:rPr>
          <w:color w:val="000000" w:themeColor="text1"/>
        </w:rPr>
      </w:pPr>
      <w:r w:rsidRPr="00344603">
        <w:rPr>
          <w:color w:val="000000" w:themeColor="text1"/>
        </w:rPr>
        <w:t>3GPP SA3 has studied user consent and privacy in previous releases.</w:t>
      </w:r>
    </w:p>
    <w:p w14:paraId="54F45CA6" w14:textId="707DE250" w:rsidR="00215E5C" w:rsidRPr="00344603" w:rsidRDefault="00F1740A" w:rsidP="00215E5C">
      <w:pPr>
        <w:rPr>
          <w:color w:val="000000" w:themeColor="text1"/>
        </w:rPr>
      </w:pPr>
      <w:r w:rsidRPr="00344603">
        <w:rPr>
          <w:color w:val="000000" w:themeColor="text1"/>
        </w:rPr>
        <w:t>The purpose of the user consent framework Annex V in TS33.501</w:t>
      </w:r>
      <w:r w:rsidR="00344603">
        <w:rPr>
          <w:color w:val="000000" w:themeColor="text1"/>
        </w:rPr>
        <w:t xml:space="preserve"> </w:t>
      </w:r>
      <w:r w:rsidRPr="00344603">
        <w:rPr>
          <w:color w:val="000000" w:themeColor="text1"/>
        </w:rPr>
        <w:t>is for</w:t>
      </w:r>
      <w:r w:rsidR="00BF396E" w:rsidRPr="00344603">
        <w:rPr>
          <w:color w:val="000000" w:themeColor="text1"/>
        </w:rPr>
        <w:t xml:space="preserve"> providing technical means to</w:t>
      </w:r>
      <w:r w:rsidRPr="00344603">
        <w:rPr>
          <w:color w:val="000000" w:themeColor="text1"/>
        </w:rPr>
        <w:t xml:space="preserve"> manag</w:t>
      </w:r>
      <w:r w:rsidR="00BF396E" w:rsidRPr="00344603">
        <w:rPr>
          <w:color w:val="000000" w:themeColor="text1"/>
        </w:rPr>
        <w:t>e</w:t>
      </w:r>
      <w:r w:rsidRPr="00344603">
        <w:rPr>
          <w:color w:val="000000" w:themeColor="text1"/>
        </w:rPr>
        <w:t xml:space="preserve"> subscriber permissions at the operator domain such that Network Functions of the 3GPP system can request</w:t>
      </w:r>
      <w:r w:rsidR="00BF396E" w:rsidRPr="00344603">
        <w:rPr>
          <w:color w:val="000000" w:themeColor="text1"/>
        </w:rPr>
        <w:t xml:space="preserve"> </w:t>
      </w:r>
      <w:r w:rsidRPr="00344603">
        <w:rPr>
          <w:color w:val="000000" w:themeColor="text1"/>
        </w:rPr>
        <w:t xml:space="preserve">or can be provisioned/configured </w:t>
      </w:r>
      <w:r w:rsidR="00BF396E" w:rsidRPr="00344603">
        <w:rPr>
          <w:color w:val="000000" w:themeColor="text1"/>
        </w:rPr>
        <w:t xml:space="preserve">with subscriber-related data </w:t>
      </w:r>
      <w:r w:rsidRPr="00344603">
        <w:rPr>
          <w:color w:val="000000" w:themeColor="text1"/>
        </w:rPr>
        <w:t>in accordance with local laws and regulations. These permissions are stored in UDM/UDR.</w:t>
      </w:r>
      <w:r w:rsidR="00627725" w:rsidRPr="00344603">
        <w:rPr>
          <w:color w:val="000000" w:themeColor="text1"/>
        </w:rPr>
        <w:t xml:space="preserve"> </w:t>
      </w:r>
    </w:p>
    <w:p w14:paraId="65172006" w14:textId="00853A29" w:rsidR="00C46310" w:rsidRPr="00344603" w:rsidRDefault="006F5B4F" w:rsidP="00C46310">
      <w:pPr>
        <w:rPr>
          <w:color w:val="000000" w:themeColor="text1"/>
        </w:rPr>
      </w:pPr>
      <w:r w:rsidRPr="00344603">
        <w:rPr>
          <w:color w:val="000000" w:themeColor="text1"/>
        </w:rPr>
        <w:t>In addition, i</w:t>
      </w:r>
      <w:r w:rsidR="00445238" w:rsidRPr="00344603">
        <w:rPr>
          <w:color w:val="000000" w:themeColor="text1"/>
        </w:rPr>
        <w:t xml:space="preserve">t </w:t>
      </w:r>
      <w:r w:rsidR="00625595" w:rsidRPr="00344603">
        <w:rPr>
          <w:color w:val="000000" w:themeColor="text1"/>
        </w:rPr>
        <w:t xml:space="preserve">is worth mentioning that </w:t>
      </w:r>
      <w:r w:rsidRPr="00344603">
        <w:rPr>
          <w:color w:val="000000" w:themeColor="text1"/>
        </w:rPr>
        <w:t>there are two other</w:t>
      </w:r>
      <w:r w:rsidR="00C46310" w:rsidRPr="00344603">
        <w:rPr>
          <w:color w:val="000000" w:themeColor="text1"/>
        </w:rPr>
        <w:t xml:space="preserve"> </w:t>
      </w:r>
      <w:r w:rsidR="00215E5C" w:rsidRPr="00344603">
        <w:rPr>
          <w:color w:val="000000" w:themeColor="text1"/>
        </w:rPr>
        <w:t>specifications</w:t>
      </w:r>
      <w:r w:rsidRPr="00344603">
        <w:rPr>
          <w:color w:val="000000" w:themeColor="text1"/>
        </w:rPr>
        <w:t xml:space="preserve"> that also handle consent in some format, namely:</w:t>
      </w:r>
    </w:p>
    <w:p w14:paraId="2E342169" w14:textId="3BE8B2BE" w:rsidR="00C46310" w:rsidRPr="00344603" w:rsidRDefault="00445238" w:rsidP="00C46310">
      <w:pPr>
        <w:pStyle w:val="ListParagraph"/>
        <w:numPr>
          <w:ilvl w:val="0"/>
          <w:numId w:val="10"/>
        </w:numPr>
        <w:rPr>
          <w:color w:val="000000" w:themeColor="text1"/>
        </w:rPr>
      </w:pPr>
      <w:r w:rsidRPr="00344603">
        <w:rPr>
          <w:color w:val="000000" w:themeColor="text1"/>
        </w:rPr>
        <w:t>TS 23.273</w:t>
      </w:r>
      <w:r w:rsidR="00AA56EF" w:rsidRPr="00344603">
        <w:rPr>
          <w:color w:val="000000" w:themeColor="text1"/>
        </w:rPr>
        <w:t>– UE LCS Privacy profile</w:t>
      </w:r>
      <w:r w:rsidRPr="00344603">
        <w:rPr>
          <w:color w:val="000000" w:themeColor="text1"/>
        </w:rPr>
        <w:t>,</w:t>
      </w:r>
      <w:r w:rsidR="00AA56EF" w:rsidRPr="00344603">
        <w:rPr>
          <w:color w:val="000000" w:themeColor="text1"/>
        </w:rPr>
        <w:t xml:space="preserve"> </w:t>
      </w:r>
      <w:r w:rsidR="006F5B4F" w:rsidRPr="00344603">
        <w:rPr>
          <w:color w:val="000000" w:themeColor="text1"/>
        </w:rPr>
        <w:t xml:space="preserve">that </w:t>
      </w:r>
      <w:r w:rsidR="009252DB" w:rsidRPr="00344603">
        <w:rPr>
          <w:color w:val="000000" w:themeColor="text1"/>
        </w:rPr>
        <w:t xml:space="preserve">apply for user consent enforcement in the 5G System Location Services (i.e., UE LCS privacy feature). This includes the enforcement of user consent for LCS services in GMLC and NEF (when location services are accessed via NEF).  </w:t>
      </w:r>
    </w:p>
    <w:p w14:paraId="6DE618AB" w14:textId="4703B747" w:rsidR="00C46310" w:rsidRDefault="00445238" w:rsidP="00C46310">
      <w:pPr>
        <w:pStyle w:val="ListParagraph"/>
        <w:numPr>
          <w:ilvl w:val="0"/>
          <w:numId w:val="10"/>
        </w:numPr>
        <w:rPr>
          <w:color w:val="000000" w:themeColor="text1"/>
        </w:rPr>
      </w:pPr>
      <w:r w:rsidRPr="00344603">
        <w:rPr>
          <w:color w:val="000000" w:themeColor="text1"/>
        </w:rPr>
        <w:t>TS 32.422</w:t>
      </w:r>
      <w:r w:rsidR="00AA56EF" w:rsidRPr="00344603">
        <w:rPr>
          <w:color w:val="000000" w:themeColor="text1"/>
        </w:rPr>
        <w:t>– MDT User Consent</w:t>
      </w:r>
      <w:r w:rsidRPr="00344603">
        <w:rPr>
          <w:color w:val="000000" w:themeColor="text1"/>
        </w:rPr>
        <w:t>,</w:t>
      </w:r>
      <w:r w:rsidR="00D80C27" w:rsidRPr="00344603">
        <w:rPr>
          <w:color w:val="000000" w:themeColor="text1"/>
        </w:rPr>
        <w:t xml:space="preserve"> </w:t>
      </w:r>
      <w:r w:rsidR="006F5B4F" w:rsidRPr="00344603">
        <w:rPr>
          <w:color w:val="000000" w:themeColor="text1"/>
        </w:rPr>
        <w:t xml:space="preserve">that </w:t>
      </w:r>
      <w:r w:rsidR="00D80C27" w:rsidRPr="00344603">
        <w:rPr>
          <w:color w:val="000000" w:themeColor="text1"/>
        </w:rPr>
        <w:t>apply for user consent enforcement for the mechanisms used for the control and configuration of the Trace, Minimization of Drive Test (MDT).</w:t>
      </w:r>
    </w:p>
    <w:p w14:paraId="1F8BFEB0" w14:textId="77777777" w:rsidR="00ED7B60" w:rsidRDefault="00ED7B60" w:rsidP="00ED7B60">
      <w:pPr>
        <w:rPr>
          <w:iCs/>
          <w:color w:val="000000"/>
          <w:lang w:val="en-US"/>
        </w:rPr>
      </w:pPr>
      <w:r w:rsidRPr="00ED7B60">
        <w:rPr>
          <w:iCs/>
          <w:color w:val="000000"/>
          <w:lang w:val="en-US"/>
        </w:rPr>
        <w:t>UE LCS Privacy profile and MDT User Consent information are stored in UDM/UDR.</w:t>
      </w:r>
    </w:p>
    <w:p w14:paraId="28E70786" w14:textId="6E72C129" w:rsidR="00ED7B60" w:rsidRDefault="00ED7B60" w:rsidP="00ED7B60">
      <w:pPr>
        <w:rPr>
          <w:color w:val="000000" w:themeColor="text1"/>
        </w:rPr>
      </w:pPr>
      <w:r>
        <w:rPr>
          <w:color w:val="000000" w:themeColor="text1"/>
        </w:rPr>
        <w:t>Information stored in UDM/UDR and CCF, with respect to TS 23.273, TS 32.422, TS 23.222 and TS 33.122</w:t>
      </w:r>
      <w:r w:rsidR="000E26FC">
        <w:rPr>
          <w:color w:val="000000" w:themeColor="text1"/>
        </w:rPr>
        <w:t>,</w:t>
      </w:r>
      <w:r>
        <w:rPr>
          <w:color w:val="000000" w:themeColor="text1"/>
        </w:rPr>
        <w:t xml:space="preserve"> should be independent from each other to avoid conflicting scenarios that can be a violation to privacy laws and regulations.</w:t>
      </w:r>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t>In addition to above comments, t</w:t>
      </w:r>
      <w:r w:rsidR="00431B50" w:rsidRPr="00AC7133">
        <w:rPr>
          <w:color w:val="000000" w:themeColor="text1"/>
        </w:rPr>
        <w:t>he following answers are provided to the received questions.</w:t>
      </w:r>
    </w:p>
    <w:p w14:paraId="6890AD46" w14:textId="77777777" w:rsidR="00431B50" w:rsidRPr="00CD123F" w:rsidRDefault="00431B50" w:rsidP="00431B50">
      <w:pPr>
        <w:rPr>
          <w:i/>
          <w:iCs/>
        </w:rPr>
      </w:pPr>
      <w:r w:rsidRPr="00CD123F">
        <w:rPr>
          <w:i/>
          <w:iCs/>
        </w:rPr>
        <w:lastRenderedPageBreak/>
        <w:t xml:space="preserve">Q1. When NEF or EES (as trusted AF) is exposing APIs using CAPIF RNAA, how is NEF or EES utilizing the UDM’s user consent information for processing authorization for API consumer/invoker? </w:t>
      </w:r>
    </w:p>
    <w:p w14:paraId="7A6013AE" w14:textId="3D0AC13F" w:rsidR="00CC5292" w:rsidRDefault="00CC5292" w:rsidP="00431B50">
      <w:pPr>
        <w:rPr>
          <w:iCs/>
          <w:color w:val="000000" w:themeColor="text1"/>
        </w:rPr>
      </w:pPr>
      <w:r w:rsidRPr="00AC7133">
        <w:rPr>
          <w:iCs/>
          <w:color w:val="000000" w:themeColor="text1"/>
        </w:rPr>
        <w:t xml:space="preserve">Answer: </w:t>
      </w:r>
      <w:r>
        <w:rPr>
          <w:iCs/>
          <w:color w:val="000000" w:themeColor="text1"/>
        </w:rPr>
        <w:t>see answers in Q2.</w:t>
      </w:r>
    </w:p>
    <w:p w14:paraId="115432AB" w14:textId="38AA5A89" w:rsidR="00431B50" w:rsidRPr="00CD123F" w:rsidRDefault="00431B50" w:rsidP="00431B50">
      <w:pPr>
        <w:rPr>
          <w:i/>
          <w:iCs/>
        </w:rPr>
      </w:pPr>
      <w:r w:rsidRPr="00CD123F">
        <w:rPr>
          <w:i/>
          <w:iCs/>
        </w:rPr>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t>Answer:</w:t>
      </w:r>
    </w:p>
    <w:p w14:paraId="70B38C63" w14:textId="125262CE" w:rsidR="00BF2C1E" w:rsidRDefault="00431B50" w:rsidP="00BF2C1E">
      <w:pPr>
        <w:rPr>
          <w:color w:val="000000" w:themeColor="text1"/>
        </w:rPr>
      </w:pPr>
      <w:r w:rsidRPr="00AC7133">
        <w:rPr>
          <w:color w:val="000000" w:themeColor="text1"/>
        </w:rPr>
        <w:t>User Consent Subscription Data (</w:t>
      </w:r>
      <w:proofErr w:type="spellStart"/>
      <w:r w:rsidRPr="00AC7133">
        <w:rPr>
          <w:color w:val="000000" w:themeColor="text1"/>
        </w:rPr>
        <w:t>UcSubscriptionData</w:t>
      </w:r>
      <w:proofErr w:type="spellEnd"/>
      <w:r w:rsidRPr="00AC7133">
        <w:rPr>
          <w:color w:val="000000" w:themeColor="text1"/>
        </w:rPr>
        <w:t>) is specified in 3GPP TS 2</w:t>
      </w:r>
      <w:r w:rsidR="00465706" w:rsidRPr="00AC7133">
        <w:rPr>
          <w:color w:val="000000" w:themeColor="text1"/>
        </w:rPr>
        <w:t>9</w:t>
      </w:r>
      <w:r w:rsidRPr="00AC7133">
        <w:rPr>
          <w:color w:val="000000" w:themeColor="text1"/>
        </w:rPr>
        <w:t xml:space="preserve">.503 as permanent subscription data stored in the UDR. This data can be retrieved from UDR by UDM and from UDM by any other authorized NF (e.g. NEF). </w:t>
      </w:r>
      <w:r w:rsidR="0007289D">
        <w:rPr>
          <w:color w:val="000000" w:themeColor="text1"/>
        </w:rPr>
        <w:t>P</w:t>
      </w:r>
      <w:r w:rsidRPr="00AC7133">
        <w:rPr>
          <w:color w:val="000000" w:themeColor="text1"/>
        </w:rPr>
        <w:t xml:space="preserve">ermanent subscription data can be modified only by provisioning/administration means locally at the UDR. This framework describes </w:t>
      </w:r>
      <w:r w:rsidR="7E87DE5D" w:rsidRPr="00AC7133">
        <w:rPr>
          <w:color w:val="000000" w:themeColor="text1"/>
        </w:rPr>
        <w:t>therefore</w:t>
      </w:r>
      <w:r w:rsidRPr="00AC7133">
        <w:rPr>
          <w:color w:val="000000" w:themeColor="text1"/>
        </w:rPr>
        <w:t xml:space="preserve"> a static handling of user consent in UDM. Hence </w:t>
      </w:r>
      <w:r w:rsidR="004E7241" w:rsidRPr="00AC7133">
        <w:rPr>
          <w:color w:val="000000" w:themeColor="text1"/>
        </w:rPr>
        <w:t>consent framework in Annex V is not suitable for consent control</w:t>
      </w:r>
      <w:r w:rsidR="00F803AD" w:rsidRPr="00AC7133">
        <w:rPr>
          <w:color w:val="000000" w:themeColor="text1"/>
        </w:rPr>
        <w:t xml:space="preserve"> in runtime</w:t>
      </w:r>
      <w:r w:rsidR="00AF205E" w:rsidRPr="00AC7133">
        <w:rPr>
          <w:color w:val="000000" w:themeColor="text1"/>
        </w:rPr>
        <w:t xml:space="preserve"> </w:t>
      </w:r>
      <w:r w:rsidR="004E7241" w:rsidRPr="00AC7133">
        <w:rPr>
          <w:color w:val="000000" w:themeColor="text1"/>
        </w:rPr>
        <w:t xml:space="preserve">at </w:t>
      </w:r>
      <w:r w:rsidR="00650D54" w:rsidRPr="00AC7133">
        <w:rPr>
          <w:color w:val="000000" w:themeColor="text1"/>
        </w:rPr>
        <w:t xml:space="preserve">the </w:t>
      </w:r>
      <w:r w:rsidR="004E7241" w:rsidRPr="00AC7133">
        <w:rPr>
          <w:color w:val="000000" w:themeColor="text1"/>
        </w:rPr>
        <w:t>CAPIF RNAA layer.</w:t>
      </w:r>
    </w:p>
    <w:p w14:paraId="51CA4371" w14:textId="359829B3" w:rsidR="00030CB2" w:rsidRDefault="002B0FCA" w:rsidP="00BF2C1E">
      <w:pPr>
        <w:rPr>
          <w:color w:val="000000" w:themeColor="text1"/>
        </w:rPr>
      </w:pPr>
      <w:r w:rsidRPr="00AC7133">
        <w:rPr>
          <w:color w:val="000000" w:themeColor="text1"/>
        </w:rPr>
        <w:t>The CAPIF</w:t>
      </w:r>
      <w:r w:rsidR="00405EBC" w:rsidRPr="00AC7133">
        <w:rPr>
          <w:color w:val="000000" w:themeColor="text1"/>
        </w:rPr>
        <w:t xml:space="preserve"> RNAA</w:t>
      </w:r>
      <w:r w:rsidRPr="00AC7133">
        <w:rPr>
          <w:color w:val="000000" w:themeColor="text1"/>
        </w:rPr>
        <w:t xml:space="preserve"> is about </w:t>
      </w:r>
      <w:r w:rsidR="0007289D">
        <w:rPr>
          <w:color w:val="000000" w:themeColor="text1"/>
        </w:rPr>
        <w:t xml:space="preserve">subscriber’s </w:t>
      </w:r>
      <w:r w:rsidRPr="00AC7133">
        <w:rPr>
          <w:color w:val="000000" w:themeColor="text1"/>
        </w:rPr>
        <w:t>authorization</w:t>
      </w:r>
      <w:r w:rsidR="00030CB2" w:rsidRPr="00AC7133">
        <w:rPr>
          <w:color w:val="000000" w:themeColor="text1"/>
        </w:rPr>
        <w:t>/permission</w:t>
      </w:r>
      <w:r w:rsidRPr="00AC7133">
        <w:rPr>
          <w:color w:val="000000" w:themeColor="text1"/>
        </w:rPr>
        <w:t xml:space="preserve"> to </w:t>
      </w:r>
      <w:r w:rsidR="0007289D">
        <w:rPr>
          <w:color w:val="000000" w:themeColor="text1"/>
        </w:rPr>
        <w:t xml:space="preserve">a requesting AF enabling the AF to access subscriber </w:t>
      </w:r>
      <w:r w:rsidRPr="00AC7133">
        <w:rPr>
          <w:color w:val="000000" w:themeColor="text1"/>
        </w:rPr>
        <w:t>resources</w:t>
      </w:r>
      <w:r w:rsidR="00030CB2" w:rsidRPr="00AC7133">
        <w:rPr>
          <w:color w:val="000000" w:themeColor="text1"/>
        </w:rPr>
        <w:t>.</w:t>
      </w:r>
      <w:r w:rsidR="0007289D">
        <w:rPr>
          <w:color w:val="000000" w:themeColor="text1"/>
        </w:rPr>
        <w:t xml:space="preserve"> </w:t>
      </w:r>
      <w:r w:rsidR="0007289D" w:rsidRPr="0007289D">
        <w:rPr>
          <w:color w:val="000000" w:themeColor="text1"/>
        </w:rPr>
        <w:t>The consent mechanism enabled by RNAA, has different granularity in support of different use cases for exposure of subscriber related network resources via APIs</w:t>
      </w:r>
      <w:r w:rsidR="0007289D">
        <w:rPr>
          <w:color w:val="000000" w:themeColor="text1"/>
        </w:rPr>
        <w:t>.</w:t>
      </w:r>
    </w:p>
    <w:p w14:paraId="41D08D33" w14:textId="298480A2" w:rsidR="00D65D9A" w:rsidRPr="00CC5292" w:rsidRDefault="00D65D9A" w:rsidP="00431B50">
      <w:pPr>
        <w:rPr>
          <w:rStyle w:val="cf01"/>
          <w:rFonts w:ascii="Times New Roman" w:hAnsi="Times New Roman" w:cs="Times New Roman"/>
          <w:color w:val="000000" w:themeColor="text1"/>
          <w:sz w:val="20"/>
          <w:szCs w:val="20"/>
          <w:lang w:val="en-US"/>
        </w:rPr>
      </w:pPr>
      <w:r w:rsidRPr="00D65D9A">
        <w:rPr>
          <w:rStyle w:val="cf01"/>
          <w:rFonts w:ascii="Times New Roman" w:hAnsi="Times New Roman" w:cs="Times New Roman"/>
          <w:color w:val="000000" w:themeColor="text1"/>
          <w:sz w:val="20"/>
          <w:szCs w:val="20"/>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000E26FC">
        <w:rPr>
          <w:rStyle w:val="cf01"/>
          <w:rFonts w:ascii="Times New Roman" w:hAnsi="Times New Roman" w:cs="Times New Roman"/>
          <w:color w:val="000000" w:themeColor="text1"/>
          <w:sz w:val="20"/>
          <w:szCs w:val="20"/>
        </w:rPr>
        <w:t xml:space="preserve">keeping </w:t>
      </w:r>
      <w:r w:rsidRPr="00D65D9A">
        <w:rPr>
          <w:rStyle w:val="cf01"/>
          <w:rFonts w:ascii="Times New Roman" w:hAnsi="Times New Roman" w:cs="Times New Roman"/>
          <w:color w:val="000000" w:themeColor="text1"/>
          <w:sz w:val="20"/>
          <w:szCs w:val="20"/>
        </w:rPr>
        <w:t>information stored in UDM/UDR and CCF</w:t>
      </w:r>
      <w:r w:rsidR="000E26FC">
        <w:rPr>
          <w:rStyle w:val="cf01"/>
          <w:rFonts w:ascii="Times New Roman" w:hAnsi="Times New Roman" w:cs="Times New Roman"/>
          <w:color w:val="000000" w:themeColor="text1"/>
          <w:sz w:val="20"/>
          <w:szCs w:val="20"/>
        </w:rPr>
        <w:t xml:space="preserve"> to </w:t>
      </w:r>
      <w:r w:rsidRPr="00D65D9A">
        <w:rPr>
          <w:rStyle w:val="cf01"/>
          <w:rFonts w:ascii="Times New Roman" w:hAnsi="Times New Roman" w:cs="Times New Roman"/>
          <w:color w:val="000000" w:themeColor="text1"/>
          <w:sz w:val="20"/>
          <w:szCs w:val="20"/>
        </w:rPr>
        <w:t xml:space="preserve">be independent from each other </w:t>
      </w:r>
      <w:r w:rsidR="000E26FC">
        <w:rPr>
          <w:rStyle w:val="cf01"/>
          <w:rFonts w:ascii="Times New Roman" w:hAnsi="Times New Roman" w:cs="Times New Roman"/>
          <w:color w:val="000000" w:themeColor="text1"/>
          <w:sz w:val="20"/>
          <w:szCs w:val="20"/>
        </w:rPr>
        <w:t>is important</w:t>
      </w:r>
      <w:r w:rsidRPr="00D65D9A">
        <w:rPr>
          <w:rStyle w:val="cf01"/>
          <w:rFonts w:ascii="Times New Roman" w:hAnsi="Times New Roman" w:cs="Times New Roman"/>
          <w:color w:val="000000" w:themeColor="text1"/>
          <w:sz w:val="20"/>
          <w:szCs w:val="20"/>
        </w:rPr>
        <w:t>.</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209A12E6" w14:textId="03005881" w:rsidR="00431B50" w:rsidRPr="00BF2C1E" w:rsidRDefault="00431B50" w:rsidP="00006069">
      <w:pPr>
        <w:rPr>
          <w:color w:val="000000" w:themeColor="text1"/>
        </w:rPr>
      </w:pPr>
      <w:r w:rsidRPr="00BF2C1E">
        <w:rPr>
          <w:color w:val="000000" w:themeColor="text1"/>
        </w:rPr>
        <w:t>3GPP TS 33.501</w:t>
      </w:r>
      <w:r w:rsidR="00695AE0" w:rsidRPr="00BF2C1E">
        <w:rPr>
          <w:color w:val="000000" w:themeColor="text1"/>
        </w:rPr>
        <w:t>,</w:t>
      </w:r>
      <w:r w:rsidRPr="00BF2C1E">
        <w:rPr>
          <w:color w:val="000000" w:themeColor="text1"/>
        </w:rPr>
        <w:t xml:space="preserve"> </w:t>
      </w:r>
      <w:r w:rsidR="00695AE0" w:rsidRPr="00BF2C1E">
        <w:rPr>
          <w:color w:val="000000" w:themeColor="text1"/>
        </w:rPr>
        <w:t xml:space="preserve">Annex V describes the user consent framework and </w:t>
      </w:r>
      <w:r w:rsidRPr="00BF2C1E">
        <w:rPr>
          <w:color w:val="000000" w:themeColor="text1"/>
        </w:rPr>
        <w:t>mentions revocation in the context of informing/notifying on any changes done on the subscription details. Hence, it allows a N</w:t>
      </w:r>
      <w:r w:rsidR="00BF396E" w:rsidRPr="00BF2C1E">
        <w:rPr>
          <w:color w:val="000000" w:themeColor="text1"/>
        </w:rPr>
        <w:t xml:space="preserve">etwork </w:t>
      </w:r>
      <w:r w:rsidRPr="00BF2C1E">
        <w:rPr>
          <w:color w:val="000000" w:themeColor="text1"/>
        </w:rPr>
        <w:t>F</w:t>
      </w:r>
      <w:r w:rsidR="00BF396E" w:rsidRPr="00BF2C1E">
        <w:rPr>
          <w:color w:val="000000" w:themeColor="text1"/>
        </w:rPr>
        <w:t>unction</w:t>
      </w:r>
      <w:r w:rsidRPr="00BF2C1E">
        <w:rPr>
          <w:color w:val="000000" w:themeColor="text1"/>
        </w:rPr>
        <w:t xml:space="preserve"> to get notified if user consent information has been changed or revoked</w:t>
      </w:r>
      <w:r w:rsidR="00FE7878" w:rsidRPr="00BF2C1E">
        <w:rPr>
          <w:color w:val="000000" w:themeColor="text1"/>
        </w:rPr>
        <w:t xml:space="preserve"> in UDM/UDR</w:t>
      </w:r>
      <w:r w:rsidRPr="00BF2C1E">
        <w:rPr>
          <w:color w:val="000000" w:themeColor="text1"/>
        </w:rPr>
        <w:t xml:space="preserve">. </w:t>
      </w: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0D8F6CFF"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depends on legal jurisdiction (”legal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E1072F5" w14:textId="63DF3B06" w:rsidR="00431B50" w:rsidRPr="000F6242" w:rsidRDefault="00431B50" w:rsidP="00431B50">
      <w:pPr>
        <w:rPr>
          <w:i/>
          <w:iCs/>
          <w:color w:val="0070C0"/>
        </w:rPr>
      </w:pPr>
      <w:r w:rsidRPr="00CB6C15">
        <w:rPr>
          <w:color w:val="000000" w:themeColor="text1"/>
        </w:rPr>
        <w:t xml:space="preserve">Whether exposure to an untrusted AF is allowed, may depend on operator policy or also on legal jurisdiction and hence </w:t>
      </w:r>
      <w:r w:rsidR="00695AE0" w:rsidRPr="00CB6C15">
        <w:rPr>
          <w:color w:val="000000" w:themeColor="text1"/>
        </w:rPr>
        <w:t xml:space="preserve">is </w:t>
      </w:r>
      <w:r w:rsidRPr="00CB6C15">
        <w:rPr>
          <w:color w:val="000000" w:themeColor="text1"/>
        </w:rPr>
        <w:t xml:space="preserve">not handled by 3GPP. 3GPP can only provide </w:t>
      </w:r>
      <w:r w:rsidR="00BF396E" w:rsidRPr="00CB6C15">
        <w:rPr>
          <w:color w:val="000000" w:themeColor="text1"/>
        </w:rPr>
        <w:t xml:space="preserve">technical </w:t>
      </w:r>
      <w:r w:rsidRPr="00CB6C15">
        <w:rPr>
          <w:color w:val="000000" w:themeColor="text1"/>
        </w:rPr>
        <w:t xml:space="preserve">mechanisms to store sensitive information securely and to restrict access to those authorized. </w:t>
      </w:r>
    </w:p>
    <w:p w14:paraId="38171A3D" w14:textId="77777777" w:rsidR="00431B50" w:rsidRPr="00B37974" w:rsidRDefault="00431B50" w:rsidP="00431B50">
      <w:pPr>
        <w:pStyle w:val="Heading1"/>
        <w:rPr>
          <w:lang w:val="fr-FR"/>
        </w:rPr>
      </w:pPr>
      <w:r w:rsidRPr="00B37974">
        <w:rPr>
          <w:lang w:val="fr-FR"/>
        </w:rPr>
        <w:t>2</w:t>
      </w:r>
      <w:r w:rsidRPr="00B37974">
        <w:rPr>
          <w:lang w:val="fr-FR"/>
        </w:rPr>
        <w:tab/>
        <w:t>Actions</w:t>
      </w:r>
    </w:p>
    <w:p w14:paraId="69566BF3" w14:textId="77777777" w:rsidR="00431B50" w:rsidRPr="00B37974" w:rsidRDefault="00431B50" w:rsidP="00431B50">
      <w:pPr>
        <w:spacing w:after="120"/>
        <w:ind w:left="1985" w:hanging="1985"/>
        <w:rPr>
          <w:rFonts w:ascii="Arial" w:hAnsi="Arial" w:cs="Arial"/>
          <w:b/>
          <w:lang w:val="fr-FR"/>
        </w:rPr>
      </w:pPr>
      <w:r w:rsidRPr="00B37974">
        <w:rPr>
          <w:rFonts w:ascii="Arial" w:hAnsi="Arial" w:cs="Arial"/>
          <w:b/>
          <w:lang w:val="fr-FR"/>
        </w:rPr>
        <w:t xml:space="preserve">To </w:t>
      </w:r>
      <w:r w:rsidRPr="00B37974">
        <w:rPr>
          <w:rFonts w:ascii="Arial" w:hAnsi="Arial" w:cs="Arial"/>
          <w:b/>
          <w:bCs/>
          <w:sz w:val="22"/>
          <w:szCs w:val="22"/>
          <w:lang w:val="fr-FR"/>
        </w:rPr>
        <w:t>3GPP SA</w:t>
      </w:r>
      <w:r w:rsidRPr="00B37974">
        <w:rPr>
          <w:rFonts w:ascii="Arial" w:hAnsi="Arial" w:cs="Arial"/>
          <w:b/>
          <w:lang w:val="fr-FR"/>
        </w:rPr>
        <w:t xml:space="preserve"> and</w:t>
      </w:r>
      <w:r w:rsidRPr="00B37974">
        <w:rPr>
          <w:rFonts w:ascii="Arial" w:hAnsi="Arial" w:cs="Arial"/>
          <w:b/>
          <w:bCs/>
          <w:sz w:val="22"/>
          <w:szCs w:val="22"/>
          <w:lang w:val="fr-FR"/>
        </w:rPr>
        <w:t xml:space="preserve"> SA2, SA6, CT3, CT4</w:t>
      </w:r>
    </w:p>
    <w:p w14:paraId="337848A8" w14:textId="05E84DF8"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9D3589">
        <w:rPr>
          <w:color w:val="000000" w:themeColor="text1"/>
        </w:rPr>
        <w:t xml:space="preserve">SA3 asks </w:t>
      </w:r>
      <w:r w:rsidR="00695AE0" w:rsidRPr="009D3589">
        <w:rPr>
          <w:color w:val="000000" w:themeColor="text1"/>
        </w:rPr>
        <w:t>all</w:t>
      </w:r>
      <w:r w:rsidRPr="009D3589">
        <w:rPr>
          <w:color w:val="000000" w:themeColor="text1"/>
        </w:rPr>
        <w:t xml:space="preserve"> </w:t>
      </w:r>
      <w:r w:rsidR="00695AE0" w:rsidRPr="009D3589">
        <w:rPr>
          <w:color w:val="000000" w:themeColor="text1"/>
        </w:rPr>
        <w:t xml:space="preserve">3GPP </w:t>
      </w:r>
      <w:r w:rsidRPr="009D3589">
        <w:rPr>
          <w:color w:val="000000" w:themeColor="text1"/>
        </w:rPr>
        <w:t>WGs</w:t>
      </w:r>
      <w:r w:rsidR="00695AE0" w:rsidRPr="009D3589">
        <w:rPr>
          <w:color w:val="000000" w:themeColor="text1"/>
        </w:rPr>
        <w:t xml:space="preserve"> in cc</w:t>
      </w:r>
      <w:r w:rsidRPr="009D3589">
        <w:rPr>
          <w:color w:val="000000" w:themeColor="text1"/>
        </w:rPr>
        <w:t xml:space="preserve"> to take above information into account. Additionally, SA3 asks SA to consolidate and reply to GSMA OPG considering other WGs</w:t>
      </w:r>
      <w:r w:rsidR="005261B0">
        <w:rPr>
          <w:color w:val="000000" w:themeColor="text1"/>
        </w:rPr>
        <w:t>'</w:t>
      </w:r>
      <w:r w:rsidRPr="009D3589">
        <w:rPr>
          <w:color w:val="000000" w:themeColor="text1"/>
        </w:rPr>
        <w:t xml:space="preserve">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054FEDCB" w14:textId="01CC1250" w:rsidR="006052AD" w:rsidRPr="00431B50" w:rsidRDefault="00431B50" w:rsidP="00431B50">
      <w:r>
        <w:lastRenderedPageBreak/>
        <w:t>SA3#118</w:t>
      </w:r>
      <w:r>
        <w:tab/>
        <w:t>14 - 18 October 2024</w:t>
      </w:r>
      <w:r>
        <w:tab/>
      </w:r>
      <w:r>
        <w:tab/>
        <w:t>TBD (India)</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41454" w14:textId="77777777" w:rsidR="00A83879" w:rsidRDefault="00A83879">
      <w:pPr>
        <w:spacing w:after="0"/>
      </w:pPr>
      <w:r>
        <w:separator/>
      </w:r>
    </w:p>
  </w:endnote>
  <w:endnote w:type="continuationSeparator" w:id="0">
    <w:p w14:paraId="557D6695" w14:textId="77777777" w:rsidR="00A83879" w:rsidRDefault="00A83879">
      <w:pPr>
        <w:spacing w:after="0"/>
      </w:pPr>
      <w:r>
        <w:continuationSeparator/>
      </w:r>
    </w:p>
  </w:endnote>
  <w:endnote w:type="continuationNotice" w:id="1">
    <w:p w14:paraId="01303F51" w14:textId="77777777" w:rsidR="00A83879" w:rsidRDefault="00A83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B8F7C" w14:textId="77777777" w:rsidR="00A83879" w:rsidRDefault="00A83879">
      <w:pPr>
        <w:spacing w:after="0"/>
      </w:pPr>
      <w:r>
        <w:separator/>
      </w:r>
    </w:p>
  </w:footnote>
  <w:footnote w:type="continuationSeparator" w:id="0">
    <w:p w14:paraId="2FCA5569" w14:textId="77777777" w:rsidR="00A83879" w:rsidRDefault="00A83879">
      <w:pPr>
        <w:spacing w:after="0"/>
      </w:pPr>
      <w:r>
        <w:continuationSeparator/>
      </w:r>
    </w:p>
  </w:footnote>
  <w:footnote w:type="continuationNotice" w:id="1">
    <w:p w14:paraId="012E774E" w14:textId="77777777" w:rsidR="00A83879" w:rsidRDefault="00A838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743B"/>
    <w:rsid w:val="000101E4"/>
    <w:rsid w:val="00010F9C"/>
    <w:rsid w:val="00017F23"/>
    <w:rsid w:val="000253B9"/>
    <w:rsid w:val="00030CB2"/>
    <w:rsid w:val="00046AA9"/>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63AC"/>
    <w:rsid w:val="002869FE"/>
    <w:rsid w:val="002935C7"/>
    <w:rsid w:val="002970BA"/>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75436"/>
    <w:rsid w:val="003754C0"/>
    <w:rsid w:val="00383545"/>
    <w:rsid w:val="003956C3"/>
    <w:rsid w:val="003C06D2"/>
    <w:rsid w:val="003C5CFB"/>
    <w:rsid w:val="003E08B2"/>
    <w:rsid w:val="003F5E20"/>
    <w:rsid w:val="00405EBC"/>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5057C2"/>
    <w:rsid w:val="00507F02"/>
    <w:rsid w:val="00517D73"/>
    <w:rsid w:val="00520675"/>
    <w:rsid w:val="005261B0"/>
    <w:rsid w:val="00526DDD"/>
    <w:rsid w:val="005806A3"/>
    <w:rsid w:val="005906F8"/>
    <w:rsid w:val="00595C67"/>
    <w:rsid w:val="005A022F"/>
    <w:rsid w:val="005A34A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5B4F"/>
    <w:rsid w:val="00703307"/>
    <w:rsid w:val="00710673"/>
    <w:rsid w:val="0072162F"/>
    <w:rsid w:val="007224C4"/>
    <w:rsid w:val="0073766B"/>
    <w:rsid w:val="007424D6"/>
    <w:rsid w:val="00745252"/>
    <w:rsid w:val="007767C8"/>
    <w:rsid w:val="007847B5"/>
    <w:rsid w:val="007A35A7"/>
    <w:rsid w:val="007A655F"/>
    <w:rsid w:val="007B43D4"/>
    <w:rsid w:val="007D25E7"/>
    <w:rsid w:val="007E1737"/>
    <w:rsid w:val="007F4F92"/>
    <w:rsid w:val="00817067"/>
    <w:rsid w:val="00837FA7"/>
    <w:rsid w:val="00846CED"/>
    <w:rsid w:val="008476F3"/>
    <w:rsid w:val="00865282"/>
    <w:rsid w:val="008758B0"/>
    <w:rsid w:val="008B0105"/>
    <w:rsid w:val="008C30E6"/>
    <w:rsid w:val="008D3E9C"/>
    <w:rsid w:val="008D74AE"/>
    <w:rsid w:val="008D772F"/>
    <w:rsid w:val="008E55CF"/>
    <w:rsid w:val="00903F80"/>
    <w:rsid w:val="00911776"/>
    <w:rsid w:val="00914CD1"/>
    <w:rsid w:val="009252DB"/>
    <w:rsid w:val="0092549D"/>
    <w:rsid w:val="00940BC2"/>
    <w:rsid w:val="0094192A"/>
    <w:rsid w:val="009419AC"/>
    <w:rsid w:val="009433A6"/>
    <w:rsid w:val="00946997"/>
    <w:rsid w:val="009528CF"/>
    <w:rsid w:val="009603F6"/>
    <w:rsid w:val="0096227B"/>
    <w:rsid w:val="0099227C"/>
    <w:rsid w:val="009963AC"/>
    <w:rsid w:val="0099764C"/>
    <w:rsid w:val="009A7A82"/>
    <w:rsid w:val="009B1F15"/>
    <w:rsid w:val="009B6F1C"/>
    <w:rsid w:val="009C01E1"/>
    <w:rsid w:val="009D3589"/>
    <w:rsid w:val="009E0B14"/>
    <w:rsid w:val="00A41078"/>
    <w:rsid w:val="00A455B0"/>
    <w:rsid w:val="00A5288D"/>
    <w:rsid w:val="00A547F7"/>
    <w:rsid w:val="00A55182"/>
    <w:rsid w:val="00A57D88"/>
    <w:rsid w:val="00A62D03"/>
    <w:rsid w:val="00A70448"/>
    <w:rsid w:val="00A728DB"/>
    <w:rsid w:val="00A7346D"/>
    <w:rsid w:val="00A83879"/>
    <w:rsid w:val="00A9162B"/>
    <w:rsid w:val="00AA4FF3"/>
    <w:rsid w:val="00AA56EF"/>
    <w:rsid w:val="00AB0BC1"/>
    <w:rsid w:val="00AC54A2"/>
    <w:rsid w:val="00AC7133"/>
    <w:rsid w:val="00AE1B3E"/>
    <w:rsid w:val="00AE7EB0"/>
    <w:rsid w:val="00AF205E"/>
    <w:rsid w:val="00B17F49"/>
    <w:rsid w:val="00B24896"/>
    <w:rsid w:val="00B35644"/>
    <w:rsid w:val="00B37974"/>
    <w:rsid w:val="00B42256"/>
    <w:rsid w:val="00B4447B"/>
    <w:rsid w:val="00B530DB"/>
    <w:rsid w:val="00B724D3"/>
    <w:rsid w:val="00B74123"/>
    <w:rsid w:val="00B75F53"/>
    <w:rsid w:val="00B7712E"/>
    <w:rsid w:val="00B97703"/>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4548"/>
    <w:rsid w:val="00DF42AF"/>
    <w:rsid w:val="00E003DF"/>
    <w:rsid w:val="00E17392"/>
    <w:rsid w:val="00E2241D"/>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458"/>
    <w:rsid w:val="00F1740A"/>
    <w:rsid w:val="00F25496"/>
    <w:rsid w:val="00F46C13"/>
    <w:rsid w:val="00F57FFD"/>
    <w:rsid w:val="00F64D07"/>
    <w:rsid w:val="00F667CF"/>
    <w:rsid w:val="00F72C0A"/>
    <w:rsid w:val="00F803AD"/>
    <w:rsid w:val="00F803BE"/>
    <w:rsid w:val="00FA2033"/>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2.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C593C-8B85-4093-829B-3514E2DECC14}">
  <ds:schemaRefs>
    <ds:schemaRef ds:uri="http://schemas.microsoft.com/sharepoint/events"/>
  </ds:schemaRefs>
</ds:datastoreItem>
</file>

<file path=customXml/itemProps4.xml><?xml version="1.0" encoding="utf-8"?>
<ds:datastoreItem xmlns:ds="http://schemas.openxmlformats.org/officeDocument/2006/customXml" ds:itemID="{C0E031E0-E113-478A-AE1B-6BDC893AF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Maurice Pope</cp:lastModifiedBy>
  <cp:revision>3</cp:revision>
  <dcterms:created xsi:type="dcterms:W3CDTF">2024-05-26T07:30:00Z</dcterms:created>
  <dcterms:modified xsi:type="dcterms:W3CDTF">2024-08-07T08:43:00Z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