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16A31" w14:textId="77777777" w:rsidR="003057D4" w:rsidRDefault="003057D4" w:rsidP="003057D4">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SP-230425</w:t>
      </w:r>
    </w:p>
    <w:p w14:paraId="0A84BA05" w14:textId="77777777" w:rsidR="003057D4" w:rsidRDefault="003057D4" w:rsidP="003057D4">
      <w:pPr>
        <w:tabs>
          <w:tab w:val="right" w:pos="9638"/>
        </w:tabs>
        <w:rPr>
          <w:rFonts w:ascii="Arial" w:hAnsi="Arial" w:cs="Arial"/>
          <w:b/>
          <w:sz w:val="24"/>
        </w:rPr>
      </w:pPr>
      <w:r>
        <w:rPr>
          <w:rFonts w:ascii="Arial" w:hAnsi="Arial" w:cs="Arial"/>
          <w:b/>
          <w:sz w:val="24"/>
        </w:rPr>
        <w:t>12-16 June 2023, Taipei</w:t>
      </w:r>
    </w:p>
    <w:p w14:paraId="4C60D7FF" w14:textId="2163BE35" w:rsidR="003057D4" w:rsidRPr="003057D4" w:rsidRDefault="003057D4" w:rsidP="003057D4">
      <w:pPr>
        <w:pBdr>
          <w:bottom w:val="single" w:sz="4" w:space="1" w:color="auto"/>
        </w:pBdr>
        <w:tabs>
          <w:tab w:val="right" w:pos="9638"/>
        </w:tabs>
        <w:rPr>
          <w:rFonts w:ascii="Arial" w:hAnsi="Arial" w:cs="Arial"/>
          <w:b/>
          <w:sz w:val="24"/>
        </w:rPr>
      </w:pPr>
    </w:p>
    <w:p w14:paraId="5236D732" w14:textId="45042DE1" w:rsidR="00C05EB6" w:rsidRDefault="003057D4">
      <w:pPr>
        <w:pStyle w:val="CRCoverPage"/>
        <w:tabs>
          <w:tab w:val="right" w:pos="9639"/>
        </w:tabs>
        <w:spacing w:after="0"/>
        <w:rPr>
          <w:b/>
          <w:i/>
          <w:sz w:val="28"/>
        </w:rPr>
      </w:pPr>
      <w:r>
        <w:rPr>
          <w:b/>
          <w:sz w:val="24"/>
        </w:rPr>
        <w:t>3</w:t>
      </w:r>
      <w:r>
        <w:rPr>
          <w:b/>
          <w:sz w:val="24"/>
        </w:rPr>
        <w:t>GPP TSG-SA3 Meeting #111</w:t>
      </w:r>
      <w:r>
        <w:rPr>
          <w:b/>
          <w:i/>
          <w:sz w:val="24"/>
        </w:rPr>
        <w:t xml:space="preserve"> </w:t>
      </w:r>
      <w:r>
        <w:rPr>
          <w:b/>
          <w:i/>
          <w:sz w:val="28"/>
        </w:rPr>
        <w:tab/>
        <w:t xml:space="preserve"> S3-233308</w:t>
      </w:r>
    </w:p>
    <w:p w14:paraId="1CEA6AD7" w14:textId="77777777" w:rsidR="00C05EB6" w:rsidRDefault="003057D4">
      <w:pPr>
        <w:pStyle w:val="Header"/>
        <w:rPr>
          <w:sz w:val="22"/>
          <w:szCs w:val="22"/>
        </w:rPr>
      </w:pPr>
      <w:r>
        <w:rPr>
          <w:sz w:val="24"/>
        </w:rPr>
        <w:t>Berlin, Germany, 22 -26 May 2023</w:t>
      </w:r>
    </w:p>
    <w:p w14:paraId="68116D21" w14:textId="77777777" w:rsidR="00C05EB6" w:rsidRDefault="00C05EB6">
      <w:pPr>
        <w:rPr>
          <w:rFonts w:ascii="Arial" w:hAnsi="Arial" w:cs="Arial"/>
        </w:rPr>
      </w:pPr>
    </w:p>
    <w:p w14:paraId="7F947F93" w14:textId="77777777" w:rsidR="00C05EB6" w:rsidRDefault="003057D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Further input to address GSMA LS on requirements for intermediaries in the roaming ecosystem (S3-232344)</w:t>
      </w:r>
      <w:r>
        <w:rPr>
          <w:rFonts w:ascii="Arial" w:hAnsi="Arial" w:cs="Arial"/>
          <w:b/>
          <w:sz w:val="22"/>
          <w:szCs w:val="22"/>
          <w:highlight w:val="yellow"/>
        </w:rPr>
        <w:t xml:space="preserve"> </w:t>
      </w:r>
    </w:p>
    <w:p w14:paraId="7EEF1C84" w14:textId="77777777" w:rsidR="00C05EB6" w:rsidRDefault="003057D4">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3625E65F" w14:textId="77777777" w:rsidR="00C05EB6" w:rsidRDefault="003057D4">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Release:</w:t>
      </w:r>
      <w:r>
        <w:rPr>
          <w:rFonts w:ascii="Arial" w:hAnsi="Arial" w:cs="Arial"/>
          <w:b/>
          <w:bCs/>
          <w:sz w:val="22"/>
          <w:szCs w:val="22"/>
        </w:rPr>
        <w:tab/>
        <w:t>Rel-18</w:t>
      </w:r>
      <w:bookmarkStart w:id="2" w:name="OLE_LINK59"/>
      <w:bookmarkStart w:id="3" w:name="OLE_LINK60"/>
      <w:bookmarkStart w:id="4" w:name="OLE_LINK61"/>
      <w:bookmarkEnd w:id="2"/>
      <w:bookmarkEnd w:id="3"/>
      <w:bookmarkEnd w:id="4"/>
    </w:p>
    <w:p w14:paraId="67038C12" w14:textId="77777777" w:rsidR="00C05EB6" w:rsidRDefault="003057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E218C46" w14:textId="77777777" w:rsidR="00C05EB6" w:rsidRDefault="00C05EB6">
      <w:pPr>
        <w:spacing w:after="60"/>
        <w:ind w:left="1985" w:hanging="1985"/>
        <w:rPr>
          <w:rFonts w:ascii="Arial" w:hAnsi="Arial" w:cs="Arial"/>
          <w:b/>
          <w:sz w:val="22"/>
          <w:szCs w:val="22"/>
        </w:rPr>
      </w:pPr>
    </w:p>
    <w:p w14:paraId="380F04F7" w14:textId="77777777" w:rsidR="00C05EB6" w:rsidRDefault="003057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SA3</w:t>
      </w:r>
      <w:r>
        <w:rPr>
          <w:rFonts w:ascii="Arial" w:hAnsi="Arial" w:cs="Arial"/>
          <w:b/>
          <w:sz w:val="22"/>
          <w:szCs w:val="22"/>
          <w:highlight w:val="green"/>
        </w:rPr>
        <w:t xml:space="preserve"> </w:t>
      </w:r>
      <w:bookmarkEnd w:id="5"/>
      <w:bookmarkEnd w:id="6"/>
      <w:bookmarkEnd w:id="7"/>
    </w:p>
    <w:p w14:paraId="333E3FAA" w14:textId="7A68675C" w:rsidR="00C05EB6" w:rsidRDefault="003057D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p>
    <w:p w14:paraId="761D1E9E" w14:textId="540001DB" w:rsidR="00C05EB6" w:rsidRDefault="003057D4">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SA1, SA2</w:t>
      </w:r>
      <w:r w:rsidR="005004DC">
        <w:rPr>
          <w:rFonts w:ascii="Arial" w:hAnsi="Arial" w:cs="Arial"/>
          <w:b/>
          <w:bCs/>
          <w:sz w:val="22"/>
          <w:szCs w:val="22"/>
        </w:rPr>
        <w:t>,</w:t>
      </w:r>
      <w:r w:rsidR="005004DC" w:rsidRPr="005004DC">
        <w:rPr>
          <w:rFonts w:ascii="Arial" w:hAnsi="Arial" w:cs="Arial"/>
          <w:b/>
          <w:bCs/>
          <w:sz w:val="22"/>
          <w:szCs w:val="22"/>
        </w:rPr>
        <w:t xml:space="preserve"> </w:t>
      </w:r>
      <w:r w:rsidR="005004DC">
        <w:rPr>
          <w:rFonts w:ascii="Arial" w:hAnsi="Arial" w:cs="Arial"/>
          <w:b/>
          <w:bCs/>
          <w:sz w:val="22"/>
          <w:szCs w:val="22"/>
        </w:rPr>
        <w:t>CT4</w:t>
      </w:r>
    </w:p>
    <w:p w14:paraId="562C86A3" w14:textId="77777777" w:rsidR="00C05EB6" w:rsidRDefault="00C05EB6">
      <w:pPr>
        <w:spacing w:after="60"/>
        <w:ind w:left="1985" w:hanging="1985"/>
        <w:rPr>
          <w:rFonts w:ascii="Arial" w:hAnsi="Arial" w:cs="Arial"/>
          <w:bCs/>
        </w:rPr>
      </w:pPr>
    </w:p>
    <w:p w14:paraId="05360325" w14:textId="77777777" w:rsidR="00C05EB6" w:rsidRDefault="003057D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Anja Jerichow</w:t>
      </w:r>
    </w:p>
    <w:p w14:paraId="04235373" w14:textId="77777777" w:rsidR="00C05EB6" w:rsidRDefault="003057D4">
      <w:pPr>
        <w:spacing w:after="60"/>
        <w:ind w:left="1985"/>
        <w:rPr>
          <w:rFonts w:ascii="Arial" w:hAnsi="Arial" w:cs="Arial"/>
          <w:b/>
          <w:bCs/>
          <w:sz w:val="22"/>
          <w:szCs w:val="22"/>
        </w:rPr>
      </w:pPr>
      <w:r>
        <w:rPr>
          <w:rFonts w:ascii="Arial" w:hAnsi="Arial" w:cs="Arial"/>
          <w:b/>
          <w:bCs/>
          <w:sz w:val="22"/>
          <w:szCs w:val="22"/>
        </w:rPr>
        <w:t>anja(dot)jerichow(at)nokia(dot)com</w:t>
      </w:r>
    </w:p>
    <w:p w14:paraId="5A450E4F" w14:textId="77777777" w:rsidR="00C05EB6" w:rsidRDefault="00C05EB6">
      <w:pPr>
        <w:spacing w:after="60"/>
        <w:ind w:left="1985"/>
        <w:rPr>
          <w:rFonts w:ascii="Arial" w:hAnsi="Arial" w:cs="Arial"/>
          <w:b/>
          <w:bCs/>
          <w:sz w:val="22"/>
          <w:szCs w:val="22"/>
        </w:rPr>
      </w:pPr>
    </w:p>
    <w:p w14:paraId="2642DAFF" w14:textId="77777777" w:rsidR="00C05EB6" w:rsidRDefault="003057D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6DD82A7F" w14:textId="77777777" w:rsidR="00C05EB6" w:rsidRDefault="00C05EB6">
      <w:pPr>
        <w:spacing w:after="60"/>
        <w:ind w:left="1985" w:hanging="1985"/>
        <w:rPr>
          <w:rFonts w:ascii="Arial" w:hAnsi="Arial" w:cs="Arial"/>
          <w:b/>
        </w:rPr>
      </w:pPr>
    </w:p>
    <w:p w14:paraId="18E33D61" w14:textId="75B9DB74" w:rsidR="00C05EB6" w:rsidRDefault="003057D4">
      <w:pPr>
        <w:spacing w:after="60"/>
        <w:ind w:left="1985" w:hanging="1985"/>
        <w:rPr>
          <w:rFonts w:ascii="Arial" w:hAnsi="Arial" w:cs="Arial"/>
          <w:bCs/>
        </w:rPr>
      </w:pPr>
      <w:r w:rsidRPr="00FA6B8A">
        <w:rPr>
          <w:rFonts w:ascii="Arial" w:hAnsi="Arial" w:cs="Arial"/>
          <w:b/>
        </w:rPr>
        <w:t>Attachments:</w:t>
      </w:r>
      <w:r w:rsidRPr="00FA6B8A">
        <w:rPr>
          <w:rFonts w:ascii="Arial" w:hAnsi="Arial" w:cs="Arial"/>
          <w:bCs/>
        </w:rPr>
        <w:tab/>
        <w:t>S3-233349</w:t>
      </w:r>
    </w:p>
    <w:p w14:paraId="60B673CD" w14:textId="77777777" w:rsidR="00C05EB6" w:rsidRDefault="00C05EB6">
      <w:pPr>
        <w:rPr>
          <w:rFonts w:ascii="Arial" w:hAnsi="Arial" w:cs="Arial"/>
        </w:rPr>
      </w:pPr>
    </w:p>
    <w:p w14:paraId="528556D7" w14:textId="77777777" w:rsidR="00C05EB6" w:rsidRDefault="003057D4">
      <w:pPr>
        <w:pStyle w:val="Heading1"/>
      </w:pPr>
      <w:r>
        <w:t>1</w:t>
      </w:r>
      <w:r>
        <w:tab/>
        <w:t>Overall description</w:t>
      </w:r>
    </w:p>
    <w:p w14:paraId="60614800" w14:textId="77777777" w:rsidR="00C05EB6" w:rsidRPr="00F61128" w:rsidRDefault="003057D4">
      <w:r w:rsidRPr="00F61128">
        <w:t>In addition to SA3 response in LS S3-232155, SA3 would like to provide further input to 3GPP working groups in preparation of a consolidated 3GPP response to GSMA.</w:t>
      </w:r>
    </w:p>
    <w:p w14:paraId="0F14164C" w14:textId="6F76AC80" w:rsidR="00C05EB6" w:rsidRPr="00F61128" w:rsidRDefault="003057D4">
      <w:r w:rsidRPr="00F61128">
        <w:t xml:space="preserve">Document </w:t>
      </w:r>
      <w:r w:rsidRPr="00F61128">
        <w:t xml:space="preserve">S3-233349 provides an overview of related requirements captured in 3GPP. </w:t>
      </w:r>
    </w:p>
    <w:p w14:paraId="10A82379" w14:textId="77777777" w:rsidR="00C05EB6" w:rsidRPr="00F61128" w:rsidRDefault="003057D4">
      <w:r w:rsidRPr="00F61128">
        <w:t xml:space="preserve">After having reviewed the requirements, SA3 believes that further refinement and clarification is needed, as follows. </w:t>
      </w:r>
    </w:p>
    <w:p w14:paraId="1D65A5D6" w14:textId="77777777" w:rsidR="00C05EB6" w:rsidRPr="00F61128" w:rsidRDefault="003057D4">
      <w:pPr>
        <w:ind w:left="720"/>
      </w:pPr>
      <w:r w:rsidRPr="00F61128">
        <w:t>(a) Some requirements may be outside 3GPP scope. Identifying su</w:t>
      </w:r>
      <w:r w:rsidRPr="00F61128">
        <w:t>ch requirements may require a collaborative effort among multiple 3GPP working groups, and may require clarifications from GSMA.</w:t>
      </w:r>
    </w:p>
    <w:p w14:paraId="5F97C427" w14:textId="77777777" w:rsidR="00C05EB6" w:rsidRPr="00F61128" w:rsidRDefault="003057D4">
      <w:pPr>
        <w:ind w:left="720"/>
      </w:pPr>
      <w:r w:rsidRPr="00F61128">
        <w:t>(b) The current 5G service architecture appears to cover the majority of the new GSMA requirements. Some requirements, however,</w:t>
      </w:r>
      <w:r w:rsidRPr="00F61128">
        <w:t xml:space="preserve"> may not be covered. For such requirements, which are also considered to lie within 3GPP scope, SA3 has sent a LS to SA2(S3-232155) and is expecting feedback. SA3 remains open for this to be a collaborative effort</w:t>
      </w:r>
      <w:bookmarkStart w:id="8" w:name="move135744177"/>
      <w:bookmarkEnd w:id="8"/>
      <w:r w:rsidRPr="00F61128">
        <w:t>.</w:t>
      </w:r>
    </w:p>
    <w:p w14:paraId="5C4CFBF6" w14:textId="1B5782B7" w:rsidR="00C05EB6" w:rsidRPr="00F61128" w:rsidRDefault="003057D4">
      <w:pPr>
        <w:ind w:left="720"/>
        <w:rPr>
          <w:i/>
          <w:iCs/>
        </w:rPr>
      </w:pPr>
      <w:r w:rsidRPr="00F61128">
        <w:t xml:space="preserve">(c) The main requirement provided in the GSMA LSs (S3-232344 bundle) appears to be </w:t>
      </w:r>
      <w:r w:rsidRPr="00F61128">
        <w:rPr>
          <w:i/>
        </w:rPr>
        <w:t>that "entities may need access to messages exchanged between PLMNs to be able to offer their services”</w:t>
      </w:r>
      <w:r w:rsidRPr="00F61128">
        <w:t xml:space="preserve"> and that any action of these entities is to be </w:t>
      </w:r>
      <w:r w:rsidRPr="00F61128">
        <w:rPr>
          <w:i/>
        </w:rPr>
        <w:t xml:space="preserve">“attributable”. </w:t>
      </w:r>
    </w:p>
    <w:p w14:paraId="4EAB860B" w14:textId="77777777" w:rsidR="00821643" w:rsidRPr="00F61128" w:rsidRDefault="003057D4" w:rsidP="00821643">
      <w:pPr>
        <w:spacing w:after="0"/>
        <w:textAlignment w:val="auto"/>
      </w:pPr>
      <w:r w:rsidRPr="00F61128">
        <w:t>The requirements received in the S3-232344 LS bundle need to be reconciled with the 5G architecture and the e2e security requirements received in S3-180338, as they retain their validity, as captured in TS 33.501, clause 5.9.3 (requirement</w:t>
      </w:r>
      <w:r w:rsidRPr="00F61128">
        <w:t>s for e2e core network interconnection security).</w:t>
      </w:r>
      <w:bookmarkStart w:id="9" w:name="move135744177111111"/>
      <w:bookmarkEnd w:id="9"/>
    </w:p>
    <w:p w14:paraId="7038BA60" w14:textId="77777777" w:rsidR="00821643" w:rsidRPr="00F61128" w:rsidRDefault="00821643" w:rsidP="00821643">
      <w:pPr>
        <w:spacing w:after="0"/>
        <w:textAlignment w:val="auto"/>
      </w:pPr>
    </w:p>
    <w:p w14:paraId="72FD6385" w14:textId="5E105C45" w:rsidR="00C05EB6" w:rsidRPr="00F61128" w:rsidRDefault="003057D4" w:rsidP="00821643">
      <w:pPr>
        <w:spacing w:after="0"/>
        <w:textAlignment w:val="auto"/>
      </w:pPr>
      <w:r w:rsidRPr="00F61128">
        <w:t>Regarding the use cases, SA3 would like to comment:</w:t>
      </w:r>
    </w:p>
    <w:p w14:paraId="34B0BE40" w14:textId="77777777" w:rsidR="00821643" w:rsidRPr="00F61128" w:rsidRDefault="00821643" w:rsidP="00821643">
      <w:pPr>
        <w:spacing w:after="0"/>
        <w:textAlignment w:val="auto"/>
      </w:pPr>
    </w:p>
    <w:p w14:paraId="7DDFD050" w14:textId="77777777" w:rsidR="00C05EB6" w:rsidRPr="00F61128" w:rsidRDefault="003057D4">
      <w:pPr>
        <w:ind w:left="720"/>
      </w:pPr>
      <w:r w:rsidRPr="00F61128">
        <w:t xml:space="preserve">For RVAS on 'sponsored roaming' and IPX on 'regional breakout SA3 believes that the 3GPP process starting with SA1 requirements is to be followed. </w:t>
      </w:r>
    </w:p>
    <w:p w14:paraId="0E477597" w14:textId="77777777" w:rsidR="00C05EB6" w:rsidRPr="00F61128" w:rsidRDefault="003057D4">
      <w:r w:rsidRPr="00F61128">
        <w:lastRenderedPageBreak/>
        <w:t>Rega</w:t>
      </w:r>
      <w:r w:rsidRPr="00F61128">
        <w:t>rding the GSMA request to include, in addition to IPX, also roaming hub and RVAS provider as architectural elements:</w:t>
      </w:r>
    </w:p>
    <w:p w14:paraId="6676E451" w14:textId="073E5FE1" w:rsidR="00C05EB6" w:rsidRPr="00F61128" w:rsidRDefault="003057D4">
      <w:pPr>
        <w:ind w:left="720"/>
      </w:pPr>
      <w:r w:rsidRPr="00F61128">
        <w:t>SA3 would like to point out that TS 33.501 already supports the use case of an 'operator group roaming hub'. For the use cases of public ro</w:t>
      </w:r>
      <w:r w:rsidRPr="00F61128">
        <w:t xml:space="preserve">aming hubs and RVAS providers, the service requirements need to be clarified in SA1. It is in the remit of SA2 to provide an architectural solution that covers the service requirements, possibly jointly with SA3.  </w:t>
      </w:r>
    </w:p>
    <w:p w14:paraId="7A21D5AF" w14:textId="77777777" w:rsidR="00C05EB6" w:rsidRPr="00F61128" w:rsidRDefault="003057D4">
      <w:r w:rsidRPr="00F61128">
        <w:t>Regarding potential solutions:</w:t>
      </w:r>
    </w:p>
    <w:p w14:paraId="7F0F87BE" w14:textId="56282567" w:rsidR="00C05EB6" w:rsidRPr="00F61128" w:rsidRDefault="003057D4">
      <w:pPr>
        <w:ind w:left="720"/>
      </w:pPr>
      <w:r w:rsidRPr="00F61128">
        <w:t>So far, fo</w:t>
      </w:r>
      <w:r w:rsidRPr="00F61128">
        <w:t>r communication via intermediaries that are allowed to read or modify signalling messages on N32, only PRINS is standardized by 3GPP in TS 33.501. The standardized TLS mode of operation for N32-f  requires that this connection terminates at the SEPP of the</w:t>
      </w:r>
      <w:r w:rsidRPr="00F61128">
        <w:t xml:space="preserve"> VPLMN and the SEPP of the HPLMN.</w:t>
      </w:r>
    </w:p>
    <w:p w14:paraId="11D776E4" w14:textId="77777777" w:rsidR="00C05EB6" w:rsidRPr="00F61128" w:rsidRDefault="003057D4">
      <w:pPr>
        <w:ind w:left="720"/>
      </w:pPr>
      <w:r w:rsidRPr="00F61128">
        <w:t>Based on the LS exchanges with GSMA, the following table provides a summary of the different solutions so far under discussion in 3GPP with their properties.</w:t>
      </w:r>
      <w:bookmarkStart w:id="10" w:name="OLE_LINK15"/>
      <w:bookmarkEnd w:id="10"/>
    </w:p>
    <w:p w14:paraId="11F8CDD7" w14:textId="77777777" w:rsidR="00C05EB6" w:rsidRPr="00F61128" w:rsidRDefault="003057D4">
      <w:r w:rsidRPr="00F61128">
        <w:t xml:space="preserve">. </w:t>
      </w:r>
    </w:p>
    <w:tbl>
      <w:tblPr>
        <w:tblStyle w:val="TableGrid"/>
        <w:tblW w:w="9855" w:type="dxa"/>
        <w:tblLook w:val="04A0" w:firstRow="1" w:lastRow="0" w:firstColumn="1" w:lastColumn="0" w:noHBand="0" w:noVBand="1"/>
      </w:tblPr>
      <w:tblGrid>
        <w:gridCol w:w="1696"/>
        <w:gridCol w:w="2268"/>
        <w:gridCol w:w="5891"/>
      </w:tblGrid>
      <w:tr w:rsidR="00C05EB6" w:rsidRPr="00F61128" w14:paraId="039A7002" w14:textId="77777777" w:rsidTr="00821643">
        <w:tc>
          <w:tcPr>
            <w:tcW w:w="1696" w:type="dxa"/>
          </w:tcPr>
          <w:p w14:paraId="10FD6FC0" w14:textId="77777777" w:rsidR="00C05EB6" w:rsidRPr="00F61128" w:rsidRDefault="003057D4">
            <w:pPr>
              <w:rPr>
                <w:b/>
                <w:bCs/>
              </w:rPr>
            </w:pPr>
            <w:r w:rsidRPr="00F61128">
              <w:rPr>
                <w:b/>
                <w:bCs/>
              </w:rPr>
              <w:t>Solutions under discussion</w:t>
            </w:r>
          </w:p>
        </w:tc>
        <w:tc>
          <w:tcPr>
            <w:tcW w:w="2268" w:type="dxa"/>
          </w:tcPr>
          <w:p w14:paraId="65B4C687" w14:textId="77777777" w:rsidR="00C05EB6" w:rsidRPr="00F61128" w:rsidRDefault="003057D4">
            <w:pPr>
              <w:rPr>
                <w:b/>
                <w:bCs/>
              </w:rPr>
            </w:pPr>
            <w:r w:rsidRPr="00F61128">
              <w:rPr>
                <w:b/>
                <w:bCs/>
              </w:rPr>
              <w:t>Short summary of the solution</w:t>
            </w:r>
          </w:p>
        </w:tc>
        <w:tc>
          <w:tcPr>
            <w:tcW w:w="5891" w:type="dxa"/>
          </w:tcPr>
          <w:p w14:paraId="63312892" w14:textId="77777777" w:rsidR="00C05EB6" w:rsidRPr="00F61128" w:rsidRDefault="003057D4">
            <w:pPr>
              <w:rPr>
                <w:b/>
                <w:bCs/>
              </w:rPr>
            </w:pPr>
            <w:r w:rsidRPr="00F61128">
              <w:rPr>
                <w:b/>
                <w:bCs/>
              </w:rPr>
              <w:t>Comm</w:t>
            </w:r>
            <w:r w:rsidRPr="00F61128">
              <w:rPr>
                <w:b/>
                <w:bCs/>
              </w:rPr>
              <w:t>ents</w:t>
            </w:r>
          </w:p>
          <w:p w14:paraId="6FEE48B8" w14:textId="77777777" w:rsidR="00C05EB6" w:rsidRPr="00F61128" w:rsidRDefault="003057D4">
            <w:pPr>
              <w:rPr>
                <w:b/>
                <w:bCs/>
              </w:rPr>
            </w:pPr>
            <w:r w:rsidRPr="00F61128">
              <w:rPr>
                <w:b/>
                <w:bCs/>
              </w:rPr>
              <w:t>Security advantages/disadvantages</w:t>
            </w:r>
          </w:p>
          <w:p w14:paraId="2368B953" w14:textId="77777777" w:rsidR="00C05EB6" w:rsidRPr="00F61128" w:rsidRDefault="003057D4">
            <w:pPr>
              <w:rPr>
                <w:b/>
                <w:bCs/>
              </w:rPr>
            </w:pPr>
            <w:r w:rsidRPr="00F61128">
              <w:rPr>
                <w:b/>
                <w:bCs/>
              </w:rPr>
              <w:t>Architectural impact</w:t>
            </w:r>
          </w:p>
        </w:tc>
      </w:tr>
      <w:tr w:rsidR="00C05EB6" w:rsidRPr="00F61128" w14:paraId="29BD5DFB" w14:textId="77777777" w:rsidTr="00821643">
        <w:tc>
          <w:tcPr>
            <w:tcW w:w="1696" w:type="dxa"/>
          </w:tcPr>
          <w:p w14:paraId="6F7D7A10" w14:textId="77777777" w:rsidR="00821643" w:rsidRPr="00F61128" w:rsidRDefault="003057D4">
            <w:r w:rsidRPr="00F61128">
              <w:t xml:space="preserve">PRINS </w:t>
            </w:r>
          </w:p>
          <w:p w14:paraId="56C7C1CF" w14:textId="17609694" w:rsidR="00C05EB6" w:rsidRPr="00F61128" w:rsidRDefault="003057D4">
            <w:r w:rsidRPr="00F61128">
              <w:t>(as specified in 33.501) for IPX as intermediaries</w:t>
            </w:r>
          </w:p>
        </w:tc>
        <w:tc>
          <w:tcPr>
            <w:tcW w:w="2268" w:type="dxa"/>
          </w:tcPr>
          <w:p w14:paraId="48630E2C" w14:textId="77777777" w:rsidR="00C05EB6" w:rsidRPr="00F61128" w:rsidRDefault="003057D4">
            <w:r w:rsidRPr="00F61128">
              <w:t>e2e solution</w:t>
            </w:r>
          </w:p>
          <w:p w14:paraId="1B237E03" w14:textId="77777777" w:rsidR="00C05EB6" w:rsidRPr="00F61128" w:rsidRDefault="003057D4">
            <w:r w:rsidRPr="00F61128">
              <w:t xml:space="preserve">PRINS = Link protection with TLS between hops and application layer security between operators' SEPPs to provide e2e security with operator control </w:t>
            </w:r>
          </w:p>
          <w:p w14:paraId="3BA5EC44" w14:textId="77777777" w:rsidR="00C05EB6" w:rsidRPr="00F61128" w:rsidRDefault="003057D4">
            <w:r w:rsidRPr="00F61128">
              <w:t>Fully controlled by the operator, ie only IEs, that the operator allows for, will be visible at and modifia</w:t>
            </w:r>
            <w:r w:rsidRPr="00F61128">
              <w:t>ble at intermediaries. Rest will be encrypted.</w:t>
            </w:r>
          </w:p>
          <w:p w14:paraId="6765C8DD" w14:textId="77777777" w:rsidR="00C05EB6" w:rsidRPr="00F61128" w:rsidRDefault="003057D4">
            <w:r w:rsidRPr="00F61128">
              <w:t>Minimises attack surface as it uses a strong trust model.</w:t>
            </w:r>
          </w:p>
          <w:p w14:paraId="46D7B029" w14:textId="77777777" w:rsidR="00C05EB6" w:rsidRPr="00F61128" w:rsidRDefault="00C05EB6"/>
        </w:tc>
        <w:tc>
          <w:tcPr>
            <w:tcW w:w="5891" w:type="dxa"/>
          </w:tcPr>
          <w:p w14:paraId="5B8DE19F" w14:textId="77777777" w:rsidR="00C05EB6" w:rsidRPr="00F61128" w:rsidRDefault="003057D4">
            <w:r w:rsidRPr="00F61128">
              <w:t>This solution is specified in TS 33.501.</w:t>
            </w:r>
          </w:p>
          <w:p w14:paraId="6D156A99" w14:textId="0D3CAE4E" w:rsidR="00C05EB6" w:rsidRPr="00F61128" w:rsidRDefault="003057D4">
            <w:r w:rsidRPr="00F61128">
              <w:t>It supports e2e security between the SEPP of the VPLMN and the SEPP of the HPLMN. Such a security relation co</w:t>
            </w:r>
            <w:r w:rsidRPr="00F61128">
              <w:t>uld be mandated by future regulation (i.e. privacy and cyber security laws).</w:t>
            </w:r>
          </w:p>
          <w:p w14:paraId="69A7679D" w14:textId="77777777" w:rsidR="00C05EB6" w:rsidRPr="00F61128" w:rsidRDefault="003057D4">
            <w:r w:rsidRPr="00F61128">
              <w:t>It is in line with the e2e approach that underpins the current 5G security and trust model.</w:t>
            </w:r>
          </w:p>
          <w:p w14:paraId="563EF1F0" w14:textId="77777777" w:rsidR="00C05EB6" w:rsidRPr="00F61128" w:rsidRDefault="003057D4">
            <w:r w:rsidRPr="00F61128">
              <w:t xml:space="preserve">The only functional shortcoming identified for PRINS (per GSMA LS) is that it does not </w:t>
            </w:r>
            <w:r w:rsidRPr="00F61128">
              <w:t>enable an intermediary to initiate a signalling message. Instead, intermediaries are limited to piggybacking their signalling in the form of modifications of messages that are initiated by either the VPLMN or the HPLMN. Certain roaming hub use cases, howev</w:t>
            </w:r>
            <w:r w:rsidRPr="00F61128">
              <w:t>er, require intermediaries themselves to trigger signalling messages.</w:t>
            </w:r>
          </w:p>
          <w:p w14:paraId="47D46059" w14:textId="14A0D0E8" w:rsidR="00C05EB6" w:rsidRPr="00F61128" w:rsidRDefault="003057D4">
            <w:r w:rsidRPr="00F61128">
              <w:t>NOTE: The PRINS specification only mentions IPX, but study 33.875 captures a solution for using PRINS also with roaming hubs.</w:t>
            </w:r>
          </w:p>
          <w:p w14:paraId="39812035" w14:textId="77777777" w:rsidR="00C05EB6" w:rsidRPr="00F61128" w:rsidRDefault="003057D4">
            <w:r w:rsidRPr="00F61128">
              <w:t>The GSMA requirement on attributability is technically suppo</w:t>
            </w:r>
            <w:r w:rsidRPr="00F61128">
              <w:t xml:space="preserve">rted by this approach. </w:t>
            </w:r>
          </w:p>
        </w:tc>
      </w:tr>
      <w:tr w:rsidR="00C05EB6" w:rsidRPr="00F61128" w14:paraId="07CB4F4C" w14:textId="77777777" w:rsidTr="00821643">
        <w:tc>
          <w:tcPr>
            <w:tcW w:w="1696" w:type="dxa"/>
          </w:tcPr>
          <w:p w14:paraId="1D5AEA62" w14:textId="77777777" w:rsidR="00821643" w:rsidRPr="00F61128" w:rsidRDefault="003057D4">
            <w:r w:rsidRPr="00F61128">
              <w:t xml:space="preserve">Enhanced PRINS </w:t>
            </w:r>
          </w:p>
          <w:p w14:paraId="60CB4005" w14:textId="40E7F2D0" w:rsidR="00C05EB6" w:rsidRPr="00F61128" w:rsidRDefault="003057D4">
            <w:r w:rsidRPr="00F61128">
              <w:t>(S3-231419) (SA3 requested comments by GSMA in LS S3</w:t>
            </w:r>
            <w:r w:rsidRPr="00F61128">
              <w:noBreakHyphen/>
              <w:t>231389)</w:t>
            </w:r>
          </w:p>
          <w:p w14:paraId="7063F7D9" w14:textId="77777777" w:rsidR="00C05EB6" w:rsidRPr="00F61128" w:rsidRDefault="00C05EB6"/>
        </w:tc>
        <w:tc>
          <w:tcPr>
            <w:tcW w:w="2268" w:type="dxa"/>
          </w:tcPr>
          <w:p w14:paraId="46283F96" w14:textId="77777777" w:rsidR="00C05EB6" w:rsidRPr="00F61128" w:rsidRDefault="003057D4">
            <w:r w:rsidRPr="00F61128">
              <w:t>Properties as in PRINS</w:t>
            </w:r>
          </w:p>
          <w:p w14:paraId="111C2BCC" w14:textId="77777777" w:rsidR="00C05EB6" w:rsidRPr="00F61128" w:rsidRDefault="003057D4">
            <w:r w:rsidRPr="00F61128">
              <w:t>PRINS is enhanced to allow middle boxes to not only modify existing messages, but also to initiate their own messages within an em</w:t>
            </w:r>
            <w:r w:rsidRPr="00F61128">
              <w:t>pty JSON object.</w:t>
            </w:r>
          </w:p>
          <w:p w14:paraId="00C8DD79" w14:textId="77777777" w:rsidR="00C05EB6" w:rsidRPr="00F61128" w:rsidRDefault="00C05EB6"/>
        </w:tc>
        <w:tc>
          <w:tcPr>
            <w:tcW w:w="5891" w:type="dxa"/>
          </w:tcPr>
          <w:p w14:paraId="34E50C73" w14:textId="2ECFCB51" w:rsidR="00C05EB6" w:rsidRPr="00F61128" w:rsidRDefault="003057D4">
            <w:r w:rsidRPr="00F61128">
              <w:t xml:space="preserve">This approach is not agreed in SA3 on the grounds that it amounts to an effective architectural change, which would need to be reflected in the work of other SA groups (notably, SA2). It was sent for comments to GSMA and SA2 (S3-231419). </w:t>
            </w:r>
            <w:r w:rsidRPr="00F61128">
              <w:t>Such comments, however, have not been received so far.</w:t>
            </w:r>
          </w:p>
          <w:p w14:paraId="521B7909" w14:textId="04F8EAF1" w:rsidR="00C05EB6" w:rsidRPr="00F61128" w:rsidRDefault="003057D4">
            <w:r w:rsidRPr="00F61128">
              <w:t xml:space="preserve">While this solution may introduce potential risks by the middle boxes, such as messages injected by the compromised intermediaries, the solution does not reduce the e2e security properties of PRINS to </w:t>
            </w:r>
            <w:r w:rsidRPr="00F61128">
              <w:t>hop-by-hop security. The actions of intermediaries remain attributable.</w:t>
            </w:r>
          </w:p>
          <w:p w14:paraId="02FF2AC6" w14:textId="77777777" w:rsidR="00C05EB6" w:rsidRPr="00F61128" w:rsidRDefault="003057D4">
            <w:pPr>
              <w:jc w:val="both"/>
            </w:pPr>
            <w:r w:rsidRPr="00F61128">
              <w:t>It is in line with the e2e approach that underpins the current 5G security and trust model.</w:t>
            </w:r>
          </w:p>
          <w:p w14:paraId="1218974B" w14:textId="77777777" w:rsidR="00C05EB6" w:rsidRPr="00F61128" w:rsidRDefault="003057D4">
            <w:r w:rsidRPr="00F61128">
              <w:t>It does not introduce key management overheads compared to PRINS.</w:t>
            </w:r>
          </w:p>
          <w:p w14:paraId="5470D5EA" w14:textId="77777777" w:rsidR="00C05EB6" w:rsidRPr="00F61128" w:rsidRDefault="003057D4">
            <w:r w:rsidRPr="00F61128">
              <w:t xml:space="preserve">The GSMA requirement on attributability is technically supported by this approach. </w:t>
            </w:r>
          </w:p>
        </w:tc>
      </w:tr>
      <w:tr w:rsidR="00C05EB6" w:rsidRPr="00F61128" w14:paraId="4FD29A57" w14:textId="77777777" w:rsidTr="00821643">
        <w:tc>
          <w:tcPr>
            <w:tcW w:w="1696" w:type="dxa"/>
          </w:tcPr>
          <w:p w14:paraId="0B117CA6" w14:textId="77777777" w:rsidR="00821643" w:rsidRPr="00F61128" w:rsidRDefault="003057D4">
            <w:r w:rsidRPr="00F61128">
              <w:t xml:space="preserve">L-PRINS </w:t>
            </w:r>
          </w:p>
          <w:p w14:paraId="1DADCF8F" w14:textId="20E1A206" w:rsidR="00C05EB6" w:rsidRPr="00F61128" w:rsidRDefault="003057D4">
            <w:r w:rsidRPr="00F61128">
              <w:t>(GSMA working assumption solution provided per LS in S3-231721)</w:t>
            </w:r>
          </w:p>
        </w:tc>
        <w:tc>
          <w:tcPr>
            <w:tcW w:w="2268" w:type="dxa"/>
          </w:tcPr>
          <w:p w14:paraId="30005639" w14:textId="77777777" w:rsidR="00C05EB6" w:rsidRPr="00F61128" w:rsidRDefault="003057D4">
            <w:r w:rsidRPr="00F61128">
              <w:t>TLS between hops, i.e. link protection between intermediaries</w:t>
            </w:r>
          </w:p>
          <w:p w14:paraId="17F8A82B" w14:textId="77777777" w:rsidR="00C05EB6" w:rsidRPr="00F61128" w:rsidRDefault="003057D4">
            <w:r w:rsidRPr="00F61128">
              <w:t>All IEs are available in the clear a</w:t>
            </w:r>
            <w:r w:rsidRPr="00F61128">
              <w:t xml:space="preserve">t intermediaries. </w:t>
            </w:r>
          </w:p>
          <w:p w14:paraId="39583CD5" w14:textId="77777777" w:rsidR="00C05EB6" w:rsidRPr="00F61128" w:rsidRDefault="003057D4">
            <w:r w:rsidRPr="00F61128">
              <w:t>Enhancing the PRINS framework to include a signature on any message sent from a SEPP or any intermediary for logging purpose.</w:t>
            </w:r>
          </w:p>
          <w:p w14:paraId="09228E99" w14:textId="77777777" w:rsidR="00C05EB6" w:rsidRPr="00F61128" w:rsidRDefault="003057D4">
            <w:r w:rsidRPr="00F61128">
              <w:t xml:space="preserve">The PRINS framework is partially understood by intermediaries, but the concept of encryption and </w:t>
            </w:r>
            <w:r w:rsidRPr="00F61128">
              <w:t>modification policies is not used.</w:t>
            </w:r>
          </w:p>
          <w:p w14:paraId="0DC5478C" w14:textId="77777777" w:rsidR="00C05EB6" w:rsidRPr="00F61128" w:rsidRDefault="00C05EB6"/>
        </w:tc>
        <w:tc>
          <w:tcPr>
            <w:tcW w:w="5891" w:type="dxa"/>
          </w:tcPr>
          <w:p w14:paraId="64566FAB" w14:textId="77777777" w:rsidR="00C05EB6" w:rsidRPr="00F61128" w:rsidRDefault="003057D4">
            <w:r w:rsidRPr="00F61128">
              <w:t>This approach is not agreed in SA3 but has been provided to SA3 as GSMA working assumption solution. GSMA is awaiting 3GPP feedback on this approach.</w:t>
            </w:r>
          </w:p>
          <w:p w14:paraId="6306DA98" w14:textId="2873ACA6" w:rsidR="00C05EB6" w:rsidRPr="00F61128" w:rsidRDefault="003057D4">
            <w:r w:rsidRPr="00F61128">
              <w:t>This approach amounts to an effective architectural change, which woul</w:t>
            </w:r>
            <w:r w:rsidRPr="00F61128">
              <w:t>d need to be reflected in the work of other SA groups (notably, SA2).</w:t>
            </w:r>
          </w:p>
          <w:p w14:paraId="18FCF381" w14:textId="77777777" w:rsidR="00C05EB6" w:rsidRPr="00F61128" w:rsidRDefault="003057D4">
            <w:r w:rsidRPr="00F61128">
              <w:t>It does not protect the confidentiality and integrity of IEs at the intermediary (in the context of compromised intermediaries), and therefore is not in line with the e2e approach that u</w:t>
            </w:r>
            <w:r w:rsidRPr="00F61128">
              <w:t>nderpins the current 5G security and trust model. IEs are not protected e2e.</w:t>
            </w:r>
          </w:p>
          <w:p w14:paraId="3B166020" w14:textId="096DD5FA" w:rsidR="00C05EB6" w:rsidRPr="00F61128" w:rsidRDefault="003057D4">
            <w:r w:rsidRPr="00F61128">
              <w:t>As such, it introduces potential risks by the middle boxes, such as messages injected by the compromised intermediaries.</w:t>
            </w:r>
          </w:p>
          <w:p w14:paraId="6472714E" w14:textId="77777777" w:rsidR="00C05EB6" w:rsidRPr="00F61128" w:rsidRDefault="003057D4">
            <w:r w:rsidRPr="00F61128">
              <w:t xml:space="preserve">It provides </w:t>
            </w:r>
            <w:bookmarkStart w:id="11" w:name="OLE_LINK16"/>
            <w:r w:rsidRPr="00F61128">
              <w:t xml:space="preserve">no online real time e2e attribution. </w:t>
            </w:r>
            <w:bookmarkEnd w:id="11"/>
            <w:r w:rsidRPr="00F61128">
              <w:t xml:space="preserve">The GSMA </w:t>
            </w:r>
            <w:r w:rsidRPr="00F61128">
              <w:t>requirement on attributability can be supported in a reactive (offline) way by L-PRINS if all hops are mandated to use the scheme and if the technical measures are combined with non-technical means, as follows:</w:t>
            </w:r>
          </w:p>
          <w:p w14:paraId="1571BAB2" w14:textId="77777777" w:rsidR="00C05EB6" w:rsidRPr="00F61128" w:rsidRDefault="003057D4">
            <w:r w:rsidRPr="00F61128">
              <w:t>The newly added signature enables offline att</w:t>
            </w:r>
            <w:r w:rsidRPr="00F61128">
              <w:t>ribution. If consecutive hops contractually agree to share offline logs in the context of incident handling.</w:t>
            </w:r>
          </w:p>
          <w:p w14:paraId="4713EDB8" w14:textId="77777777" w:rsidR="00C05EB6" w:rsidRPr="00F61128" w:rsidRDefault="003057D4">
            <w:r w:rsidRPr="00F61128">
              <w:t xml:space="preserve">Unless the logs sharing is mandated contractually or by regulation, the (offline) attribution property benefit stays local between two consecutive </w:t>
            </w:r>
            <w:r w:rsidRPr="00F61128">
              <w:t>hops, not e2e.</w:t>
            </w:r>
          </w:p>
          <w:p w14:paraId="62938861" w14:textId="77777777" w:rsidR="00C05EB6" w:rsidRPr="00F61128" w:rsidRDefault="003057D4">
            <w:r w:rsidRPr="00F61128">
              <w:t xml:space="preserve">Note, GSMA pointed out that adding L-PRINS support may help with supporting PRINS as currently specified, if not supported already, since N32-f data structures are similar in the two protocol variants. </w:t>
            </w:r>
          </w:p>
          <w:p w14:paraId="50E3D797" w14:textId="77777777" w:rsidR="00C05EB6" w:rsidRPr="00F61128" w:rsidRDefault="003057D4">
            <w:r w:rsidRPr="00F61128">
              <w:t>Additionally, log sharing during secur</w:t>
            </w:r>
            <w:r w:rsidRPr="00F61128">
              <w:t>ity incident management may present challenges in practice due to contractual and legal limitations in separate jurisdictions.</w:t>
            </w:r>
          </w:p>
        </w:tc>
      </w:tr>
      <w:tr w:rsidR="00C05EB6" w:rsidRPr="00F61128" w14:paraId="7E79CE1A" w14:textId="77777777" w:rsidTr="00821643">
        <w:tc>
          <w:tcPr>
            <w:tcW w:w="1696" w:type="dxa"/>
          </w:tcPr>
          <w:p w14:paraId="5D77D751" w14:textId="77777777" w:rsidR="00C05EB6" w:rsidRPr="00F61128" w:rsidRDefault="003057D4">
            <w:r w:rsidRPr="00F61128">
              <w:t>"Hop-by-hop TLS"</w:t>
            </w:r>
          </w:p>
        </w:tc>
        <w:tc>
          <w:tcPr>
            <w:tcW w:w="2268" w:type="dxa"/>
          </w:tcPr>
          <w:p w14:paraId="598C24DA" w14:textId="77777777" w:rsidR="00C05EB6" w:rsidRPr="00F61128" w:rsidRDefault="003057D4">
            <w:r w:rsidRPr="00F61128">
              <w:t>TLS between hops, i.e., only link protection between intermediaries</w:t>
            </w:r>
          </w:p>
          <w:p w14:paraId="706EA4A5" w14:textId="77777777" w:rsidR="00C05EB6" w:rsidRPr="00F61128" w:rsidRDefault="003057D4">
            <w:r w:rsidRPr="00F61128">
              <w:t>All IEs are in clear at intermediaries.</w:t>
            </w:r>
          </w:p>
          <w:p w14:paraId="5FAF4BE5" w14:textId="77777777" w:rsidR="00C05EB6" w:rsidRPr="00F61128" w:rsidRDefault="003057D4">
            <w:r w:rsidRPr="00F61128">
              <w:t xml:space="preserve">Intermediaries have visibility on IEs and can add, modify IEs and messages (without control by operator) </w:t>
            </w:r>
          </w:p>
        </w:tc>
        <w:tc>
          <w:tcPr>
            <w:tcW w:w="5891" w:type="dxa"/>
          </w:tcPr>
          <w:p w14:paraId="62FF7711" w14:textId="77777777" w:rsidR="00C05EB6" w:rsidRPr="00F61128" w:rsidRDefault="003057D4">
            <w:r w:rsidRPr="00F61128">
              <w:t>This approach is not agreed in SA3 but has been mentioned in LS exchanges with GSMA.</w:t>
            </w:r>
          </w:p>
          <w:p w14:paraId="7D87B012" w14:textId="2F26BF64" w:rsidR="00C05EB6" w:rsidRPr="00F61128" w:rsidRDefault="003057D4">
            <w:r w:rsidRPr="00F61128">
              <w:t>This approach amounts to an effective architectural change, which</w:t>
            </w:r>
            <w:r w:rsidRPr="00F61128">
              <w:t xml:space="preserve"> would need to be reflected in the work of other SA groups (notably, SA2).</w:t>
            </w:r>
          </w:p>
          <w:p w14:paraId="597AAE21" w14:textId="77777777" w:rsidR="00C05EB6" w:rsidRPr="00F61128" w:rsidRDefault="003057D4">
            <w:r w:rsidRPr="00F61128">
              <w:t>The solution does not protect the confidentiality and integrity of IEs at the intermediary, in the context of compromised intermediaries, and therefore is not in line with the e2e a</w:t>
            </w:r>
            <w:r w:rsidRPr="00F61128">
              <w:t>pproach that underpins the current 5G security and trust model. IEs are not protected e2e.</w:t>
            </w:r>
          </w:p>
          <w:p w14:paraId="5277111D" w14:textId="7E7CA8E1" w:rsidR="00C05EB6" w:rsidRPr="00F61128" w:rsidRDefault="003057D4">
            <w:r w:rsidRPr="00F61128">
              <w:t>As such, it introduces potential risks by the middle boxes, such as messages injected by the compromised intermediaries .</w:t>
            </w:r>
          </w:p>
          <w:p w14:paraId="3CD8594E" w14:textId="77777777" w:rsidR="00C05EB6" w:rsidRPr="00F61128" w:rsidRDefault="003057D4">
            <w:r w:rsidRPr="00F61128">
              <w:t xml:space="preserve">The GSMA requirement on attributability is </w:t>
            </w:r>
            <w:r w:rsidRPr="00F61128">
              <w:t>not supported by this approach.</w:t>
            </w:r>
          </w:p>
          <w:p w14:paraId="52E6E205" w14:textId="77777777" w:rsidR="00C05EB6" w:rsidRPr="00F61128" w:rsidRDefault="003057D4">
            <w:r w:rsidRPr="00F61128">
              <w:t>.</w:t>
            </w:r>
          </w:p>
        </w:tc>
      </w:tr>
    </w:tbl>
    <w:p w14:paraId="21E4B80E" w14:textId="77777777" w:rsidR="00C05EB6" w:rsidRPr="00F61128" w:rsidRDefault="00C05EB6"/>
    <w:p w14:paraId="5E75A742" w14:textId="77777777" w:rsidR="00C05EB6" w:rsidRDefault="00C05EB6">
      <w:pPr>
        <w:rPr>
          <w:i/>
          <w:iCs/>
          <w:color w:val="0070C0"/>
        </w:rPr>
      </w:pPr>
    </w:p>
    <w:p w14:paraId="629E7554" w14:textId="77777777" w:rsidR="00C05EB6" w:rsidRDefault="003057D4">
      <w:pPr>
        <w:pStyle w:val="Heading1"/>
      </w:pPr>
      <w:r>
        <w:t>2</w:t>
      </w:r>
      <w:r>
        <w:tab/>
        <w:t>Actions</w:t>
      </w:r>
    </w:p>
    <w:p w14:paraId="7407F5FF" w14:textId="77777777" w:rsidR="00C05EB6" w:rsidRDefault="003057D4">
      <w:pPr>
        <w:spacing w:after="120"/>
        <w:ind w:left="1985" w:hanging="1985"/>
        <w:rPr>
          <w:rFonts w:ascii="Arial" w:hAnsi="Arial" w:cs="Arial"/>
          <w:b/>
        </w:rPr>
      </w:pPr>
      <w:r>
        <w:rPr>
          <w:rFonts w:ascii="Arial" w:hAnsi="Arial" w:cs="Arial"/>
          <w:b/>
        </w:rPr>
        <w:t>To SA, SA1, SA2, CT4</w:t>
      </w:r>
      <w:r>
        <w:rPr>
          <w:rFonts w:ascii="Arial" w:hAnsi="Arial" w:cs="Arial"/>
          <w:b/>
          <w:highlight w:val="yellow"/>
        </w:rPr>
        <w:t xml:space="preserve"> </w:t>
      </w:r>
      <w:r>
        <w:rPr>
          <w:rFonts w:ascii="Arial" w:hAnsi="Arial" w:cs="Arial"/>
          <w:b/>
        </w:rPr>
        <w:t xml:space="preserve"> </w:t>
      </w:r>
    </w:p>
    <w:p w14:paraId="707539B6" w14:textId="77777777" w:rsidR="00C05EB6" w:rsidRDefault="003057D4">
      <w:pPr>
        <w:spacing w:after="120"/>
        <w:ind w:left="993" w:hanging="993"/>
        <w:rPr>
          <w:color w:val="0070C0"/>
        </w:rPr>
      </w:pPr>
      <w:r>
        <w:rPr>
          <w:rFonts w:ascii="Arial" w:hAnsi="Arial" w:cs="Arial"/>
          <w:b/>
        </w:rPr>
        <w:t xml:space="preserve">ACTION: </w:t>
      </w:r>
      <w:r>
        <w:rPr>
          <w:rFonts w:ascii="Arial" w:hAnsi="Arial" w:cs="Arial"/>
          <w:b/>
          <w:color w:val="0070C0"/>
        </w:rPr>
        <w:tab/>
      </w:r>
    </w:p>
    <w:p w14:paraId="5C33E18B" w14:textId="257AAA39" w:rsidR="00C05EB6" w:rsidRDefault="003057D4">
      <w:pPr>
        <w:rPr>
          <w:color w:val="0070C0"/>
        </w:rPr>
      </w:pPr>
      <w:r>
        <w:rPr>
          <w:color w:val="0070C0"/>
        </w:rPr>
        <w:t xml:space="preserve">SA1 to consider specific studies for the use cases and consolidate the requirements provided by GSMA. </w:t>
      </w:r>
    </w:p>
    <w:p w14:paraId="2AF01D7E" w14:textId="21A0603E" w:rsidR="00941AC1" w:rsidRDefault="00941AC1">
      <w:pPr>
        <w:rPr>
          <w:color w:val="0070C0"/>
        </w:rPr>
      </w:pPr>
      <w:bookmarkStart w:id="12" w:name="_Hlk135924300"/>
      <w:r w:rsidRPr="00821643">
        <w:rPr>
          <w:color w:val="0070C0"/>
        </w:rPr>
        <w:t xml:space="preserve">SA2 to </w:t>
      </w:r>
      <w:r>
        <w:rPr>
          <w:color w:val="0070C0"/>
        </w:rPr>
        <w:t xml:space="preserve">take the above information into account also in the context of LS S3-232155 and </w:t>
      </w:r>
      <w:r w:rsidRPr="00821643">
        <w:rPr>
          <w:color w:val="0070C0"/>
        </w:rPr>
        <w:t>provide SA1 with an initial evaluation on architecture impact of the new solutions in the table</w:t>
      </w:r>
      <w:r w:rsidR="00F61128">
        <w:rPr>
          <w:color w:val="0070C0"/>
        </w:rPr>
        <w:t xml:space="preserve"> above</w:t>
      </w:r>
      <w:r w:rsidRPr="00821643">
        <w:rPr>
          <w:color w:val="0070C0"/>
        </w:rPr>
        <w:t>.</w:t>
      </w:r>
      <w:bookmarkEnd w:id="12"/>
      <w:r w:rsidRPr="00821643">
        <w:rPr>
          <w:color w:val="0070C0"/>
        </w:rPr>
        <w:t xml:space="preserve"> </w:t>
      </w:r>
    </w:p>
    <w:p w14:paraId="3BD9D857" w14:textId="75D9A26C" w:rsidR="00C05EB6" w:rsidRDefault="003057D4">
      <w:pPr>
        <w:rPr>
          <w:color w:val="0070C0"/>
        </w:rPr>
      </w:pPr>
      <w:r>
        <w:rPr>
          <w:color w:val="0070C0"/>
        </w:rPr>
        <w:t xml:space="preserve">SA plenary to prioritize work on N32/SEPP topics to study which requirements may be enabled with the current 5G architecture. SA </w:t>
      </w:r>
      <w:r>
        <w:rPr>
          <w:color w:val="0070C0"/>
        </w:rPr>
        <w:t>plenary to develop a position regarding requirements that are within/outside 3GPP scope and to ask 5GMRR to</w:t>
      </w:r>
    </w:p>
    <w:p w14:paraId="2F4D63EA" w14:textId="1535C017" w:rsidR="00C05EB6" w:rsidRDefault="003057D4">
      <w:pPr>
        <w:pStyle w:val="ListParagraph"/>
        <w:numPr>
          <w:ilvl w:val="0"/>
          <w:numId w:val="1"/>
        </w:numPr>
        <w:rPr>
          <w:color w:val="0070C0"/>
        </w:rPr>
      </w:pPr>
      <w:r>
        <w:rPr>
          <w:color w:val="0070C0"/>
        </w:rPr>
        <w:t>provide feedback on above position,</w:t>
      </w:r>
    </w:p>
    <w:p w14:paraId="46FEC779" w14:textId="4A16E455" w:rsidR="00C05EB6" w:rsidRDefault="003057D4">
      <w:pPr>
        <w:pStyle w:val="ListParagraph"/>
        <w:numPr>
          <w:ilvl w:val="0"/>
          <w:numId w:val="1"/>
        </w:numPr>
        <w:rPr>
          <w:color w:val="0070C0"/>
        </w:rPr>
      </w:pPr>
      <w:r>
        <w:rPr>
          <w:color w:val="0070C0"/>
        </w:rPr>
        <w:t xml:space="preserve">consolidate the set of requirements, </w:t>
      </w:r>
    </w:p>
    <w:p w14:paraId="37374107" w14:textId="3F546BDF" w:rsidR="00C05EB6" w:rsidRDefault="003057D4">
      <w:pPr>
        <w:pStyle w:val="ListParagraph"/>
        <w:numPr>
          <w:ilvl w:val="0"/>
          <w:numId w:val="1"/>
        </w:numPr>
        <w:rPr>
          <w:color w:val="0070C0"/>
        </w:rPr>
      </w:pPr>
      <w:r>
        <w:rPr>
          <w:color w:val="0070C0"/>
        </w:rPr>
        <w:t>provide a statement on regional legislative requirements on privacy and da</w:t>
      </w:r>
      <w:r>
        <w:rPr>
          <w:color w:val="0070C0"/>
        </w:rPr>
        <w:t>ta protection</w:t>
      </w:r>
      <w:r w:rsidR="00941AC1">
        <w:rPr>
          <w:color w:val="0070C0"/>
        </w:rPr>
        <w:t>,</w:t>
      </w:r>
    </w:p>
    <w:p w14:paraId="5DC67BBD" w14:textId="3938FD73" w:rsidR="00C05EB6" w:rsidRDefault="003057D4">
      <w:pPr>
        <w:pStyle w:val="ListParagraph"/>
        <w:numPr>
          <w:ilvl w:val="0"/>
          <w:numId w:val="1"/>
        </w:numPr>
        <w:rPr>
          <w:color w:val="0070C0"/>
        </w:rPr>
      </w:pPr>
      <w:r>
        <w:rPr>
          <w:color w:val="0070C0"/>
        </w:rPr>
        <w:t xml:space="preserve">point out, for each requirement separately, whether PRINS as currently specified can be used to meet the requirement and, if not, what the problem appears to be. For example, many requirements appear to be satisfied if most IEs are sent in </w:t>
      </w:r>
      <w:r>
        <w:rPr>
          <w:color w:val="0070C0"/>
        </w:rPr>
        <w:t>clear text (PRINS scheme allows for this).</w:t>
      </w:r>
    </w:p>
    <w:p w14:paraId="2285E577" w14:textId="6C10B128" w:rsidR="00C05EB6" w:rsidRDefault="003057D4">
      <w:pPr>
        <w:pStyle w:val="ListParagraph"/>
        <w:numPr>
          <w:ilvl w:val="0"/>
          <w:numId w:val="1"/>
        </w:numPr>
        <w:rPr>
          <w:color w:val="0070C0"/>
        </w:rPr>
      </w:pPr>
      <w:r>
        <w:rPr>
          <w:color w:val="0070C0"/>
        </w:rPr>
        <w:t>provide feedback with respect to S3-231419, i.e., whether the proposed enhancements for PRINS cover the requirements as they enable middle box to trigger their own signalling (see Enhanced PRINS summary). A respon</w:t>
      </w:r>
      <w:r>
        <w:rPr>
          <w:color w:val="0070C0"/>
        </w:rPr>
        <w:t xml:space="preserve">se per each individual requirement would be desirable for this question, too. </w:t>
      </w:r>
    </w:p>
    <w:p w14:paraId="05C0DDFA" w14:textId="576936D4" w:rsidR="00C05EB6" w:rsidRDefault="003057D4">
      <w:pPr>
        <w:pStyle w:val="ListParagraph"/>
        <w:numPr>
          <w:ilvl w:val="0"/>
          <w:numId w:val="1"/>
        </w:numPr>
        <w:rPr>
          <w:color w:val="0070C0"/>
        </w:rPr>
      </w:pPr>
      <w:r>
        <w:rPr>
          <w:color w:val="0070C0"/>
        </w:rPr>
        <w:t>explain how to handle IEs in any hop-by-hop approach if confidentiality of IEs is required., given that any hop-by-hop solution will not be able to achieve this (e.g., in the li</w:t>
      </w:r>
      <w:r>
        <w:rPr>
          <w:color w:val="0070C0"/>
        </w:rPr>
        <w:t>ght of legislative regional requirements on privacy).</w:t>
      </w:r>
    </w:p>
    <w:p w14:paraId="531067D5" w14:textId="77777777" w:rsidR="00C05EB6" w:rsidRDefault="003057D4">
      <w:pPr>
        <w:rPr>
          <w:color w:val="0070C0"/>
        </w:rPr>
      </w:pPr>
      <w:r>
        <w:rPr>
          <w:color w:val="0070C0"/>
        </w:rPr>
        <w:t>CT4 to take the information into account and if applicable, provide additional input.</w:t>
      </w:r>
    </w:p>
    <w:p w14:paraId="376C3012" w14:textId="77777777" w:rsidR="00C05EB6" w:rsidRDefault="00C05EB6">
      <w:pPr>
        <w:spacing w:after="120"/>
        <w:ind w:left="993" w:hanging="993"/>
        <w:rPr>
          <w:color w:val="0070C0"/>
        </w:rPr>
      </w:pPr>
    </w:p>
    <w:p w14:paraId="4C7CE646" w14:textId="77777777" w:rsidR="00C05EB6" w:rsidRDefault="003057D4">
      <w:pPr>
        <w:pStyle w:val="B1"/>
        <w:ind w:left="0" w:firstLine="0"/>
      </w:pPr>
      <w:r>
        <w:rPr>
          <w:i/>
          <w:iCs/>
        </w:rPr>
        <w:t>.</w:t>
      </w:r>
    </w:p>
    <w:p w14:paraId="6E9AED0F" w14:textId="77777777" w:rsidR="00C05EB6" w:rsidRDefault="00C05EB6">
      <w:pPr>
        <w:rPr>
          <w:color w:val="0070C0"/>
        </w:rPr>
      </w:pPr>
    </w:p>
    <w:p w14:paraId="48854C4A" w14:textId="77777777" w:rsidR="00C05EB6" w:rsidRDefault="00C05EB6">
      <w:pPr>
        <w:spacing w:after="120"/>
        <w:ind w:left="993" w:hanging="993"/>
        <w:rPr>
          <w:rFonts w:ascii="Arial" w:hAnsi="Arial" w:cs="Arial"/>
        </w:rPr>
      </w:pPr>
    </w:p>
    <w:p w14:paraId="3CCC85D4" w14:textId="77777777" w:rsidR="00C05EB6" w:rsidRDefault="003057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D36F2C8" w14:textId="77777777" w:rsidR="00C05EB6" w:rsidRDefault="003057D4">
      <w:r>
        <w:t>SA3#112</w:t>
      </w:r>
      <w:r>
        <w:tab/>
        <w:t>14 -18 August 2023</w:t>
      </w:r>
      <w:r>
        <w:tab/>
        <w:t>Goteborg, Sweden</w:t>
      </w:r>
    </w:p>
    <w:p w14:paraId="100C9131" w14:textId="77777777" w:rsidR="00C05EB6" w:rsidRDefault="003057D4">
      <w:r>
        <w:t>SA3#113</w:t>
      </w:r>
      <w:r>
        <w:tab/>
        <w:t>6 -10 November 2023</w:t>
      </w:r>
      <w:r>
        <w:tab/>
        <w:t>Ch</w:t>
      </w:r>
      <w:r>
        <w:t>icago, US</w:t>
      </w:r>
    </w:p>
    <w:p w14:paraId="4D2AB08F" w14:textId="77777777" w:rsidR="00C05EB6" w:rsidRDefault="00C05EB6"/>
    <w:sectPr w:rsidR="00C05EB6">
      <w:pgSz w:w="11906" w:h="16838"/>
      <w:pgMar w:top="1021" w:right="1021" w:bottom="1021" w:left="1021" w:header="0" w:footer="0" w:gutter="0"/>
      <w:cols w:space="720"/>
      <w:formProt w:val="0"/>
      <w:titlePg/>
      <w:docGrid w:linePitch="1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26C"/>
    <w:multiLevelType w:val="multilevel"/>
    <w:tmpl w:val="8B2EE1CC"/>
    <w:lvl w:ilvl="0">
      <w:start w:val="3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6024CC"/>
    <w:multiLevelType w:val="multilevel"/>
    <w:tmpl w:val="AC34E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9426992">
    <w:abstractNumId w:val="0"/>
  </w:num>
  <w:num w:numId="2" w16cid:durableId="54572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EB6"/>
    <w:rsid w:val="003057D4"/>
    <w:rsid w:val="005004DC"/>
    <w:rsid w:val="00534D4D"/>
    <w:rsid w:val="00821643"/>
    <w:rsid w:val="00941AC1"/>
    <w:rsid w:val="00AC2C60"/>
    <w:rsid w:val="00C05EB6"/>
    <w:rsid w:val="00D31FC2"/>
    <w:rsid w:val="00F61128"/>
    <w:rsid w:val="00FA6B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3831"/>
  <w15:docId w15:val="{1CA40654-8DCE-4719-BDE3-6C8C7D29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uiPriority w:val="99"/>
    <w:semiHidden/>
    <w:qFormat/>
    <w:rsid w:val="00470DF6"/>
    <w:rPr>
      <w:rFonts w:ascii="Arial" w:hAnsi="Arial" w:cs="Arial"/>
      <w:color w:val="FF0000"/>
    </w:rPr>
  </w:style>
  <w:style w:type="character" w:customStyle="1" w:styleId="Textkrper-ZeileneinzugZchn">
    <w:name w:val="Textkörper-Zeileneinzug Zchn"/>
    <w:basedOn w:val="DefaultParagraphFont"/>
    <w:uiPriority w:val="99"/>
    <w:semiHidden/>
    <w:qFormat/>
    <w:rsid w:val="00470DF6"/>
  </w:style>
  <w:style w:type="character" w:customStyle="1" w:styleId="Textkrper-Erstzeileneinzug2Zchn">
    <w:name w:val="Textkörper-Erstzeileneinzug 2 Zchn"/>
    <w:basedOn w:val="Textkrper-ZeileneinzugZchn"/>
    <w:uiPriority w:val="99"/>
    <w:semiHidden/>
    <w:qFormat/>
    <w:rsid w:val="00470DF6"/>
  </w:style>
  <w:style w:type="character" w:customStyle="1" w:styleId="Textkrper-Einzug2Zchn">
    <w:name w:val="Textkörper-Einzug 2 Zchn"/>
    <w:basedOn w:val="DefaultParagraphFont"/>
    <w:uiPriority w:val="99"/>
    <w:semiHidden/>
    <w:qFormat/>
    <w:rsid w:val="00470DF6"/>
  </w:style>
  <w:style w:type="character" w:customStyle="1" w:styleId="Textkrper-Einzug3Zchn">
    <w:name w:val="Textkörper-Einzug 3 Zchn"/>
    <w:basedOn w:val="DefaultParagraphFont"/>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Fu-EndnotenberschriftZchn">
    <w:name w:val="Fuß/-Endnotenüberschrift Zchn"/>
    <w:basedOn w:val="DefaultParagraphFont"/>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rynqvb">
    <w:name w:val="rynqvb"/>
    <w:basedOn w:val="DefaultParagraphFont"/>
    <w:qFormat/>
    <w:rsid w:val="005835CF"/>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uiPriority w:val="99"/>
    <w:semiHidden/>
    <w:unhideWhenUsed/>
    <w:rsid w:val="00470DF6"/>
    <w:pPr>
      <w:spacing w:after="120"/>
      <w:ind w:left="283"/>
    </w:pPr>
  </w:style>
  <w:style w:type="paragraph" w:styleId="BodyTextFirstIndent2">
    <w:name w:val="Body Text First Indent 2"/>
    <w:basedOn w:val="BodyTextIndent"/>
    <w:uiPriority w:val="99"/>
    <w:semiHidden/>
    <w:unhideWhenUsed/>
    <w:qFormat/>
    <w:rsid w:val="00470DF6"/>
    <w:pPr>
      <w:spacing w:after="180"/>
      <w:ind w:left="360" w:firstLine="360"/>
    </w:pPr>
  </w:style>
  <w:style w:type="paragraph" w:styleId="BodyTextIndent2">
    <w:name w:val="Body Text Indent 2"/>
    <w:basedOn w:val="Normal"/>
    <w:uiPriority w:val="99"/>
    <w:semiHidden/>
    <w:unhideWhenUsed/>
    <w:qFormat/>
    <w:rsid w:val="00470DF6"/>
    <w:pPr>
      <w:spacing w:after="120" w:line="480" w:lineRule="auto"/>
      <w:ind w:left="283"/>
    </w:pPr>
  </w:style>
  <w:style w:type="paragraph" w:styleId="BodyTextIndent3">
    <w:name w:val="Body Text Indent 3"/>
    <w:basedOn w:val="Normal"/>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C83311"/>
  </w:style>
  <w:style w:type="paragraph" w:customStyle="1" w:styleId="NormalParagraph">
    <w:name w:val="Normal Paragraph"/>
    <w:qFormat/>
    <w:rsid w:val="00D46FC6"/>
    <w:pPr>
      <w:spacing w:after="200" w:line="276" w:lineRule="auto"/>
    </w:pPr>
    <w:rPr>
      <w:szCs w:val="22"/>
    </w:rPr>
  </w:style>
  <w:style w:type="table" w:styleId="TableGrid">
    <w:name w:val="Table Grid"/>
    <w:basedOn w:val="TableNormal"/>
    <w:uiPriority w:val="59"/>
    <w:rsid w:val="00C95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23.401_CR3729R2_(Rel-17)_IABARC</cp:lastModifiedBy>
  <cp:revision>2</cp:revision>
  <cp:lastPrinted>2002-04-23T07:10:00Z</cp:lastPrinted>
  <dcterms:created xsi:type="dcterms:W3CDTF">2023-06-01T11:53:00Z</dcterms:created>
  <dcterms:modified xsi:type="dcterms:W3CDTF">2023-06-01T11:53:00Z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