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E5C" w:rsidRPr="00841BCD" w:rsidRDefault="00AA1E5C" w:rsidP="00AA1E5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614105" w:rsidRPr="00614105">
        <w:rPr>
          <w:rFonts w:ascii="Arial" w:eastAsia="宋体" w:hAnsi="Arial" w:cs="Times New Roman"/>
          <w:b/>
          <w:bCs/>
          <w:sz w:val="24"/>
          <w:szCs w:val="20"/>
          <w:lang w:val="en-GB" w:eastAsia="ja-JP"/>
        </w:rPr>
        <w:t>R4-1808781</w:t>
      </w:r>
      <w:bookmarkStart w:id="3" w:name="_GoBack"/>
      <w:bookmarkEnd w:id="3"/>
    </w:p>
    <w:p w:rsidR="00841BCD" w:rsidRPr="00841BCD" w:rsidRDefault="00AA1E5C" w:rsidP="00AA1E5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 xml:space="preserve">Montreal, Canada, July 2 – 6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54AAA">
        <w:rPr>
          <w:rFonts w:ascii="Arial" w:eastAsia="Calibri" w:hAnsi="Arial" w:cs="Arial"/>
          <w:b/>
          <w:bCs/>
          <w:sz w:val="24"/>
          <w:lang w:val="en-GB"/>
        </w:rPr>
        <w:t>I</w:t>
      </w:r>
      <w:r w:rsidR="00A15A9F">
        <w:rPr>
          <w:rFonts w:ascii="Arial" w:eastAsia="Calibri" w:hAnsi="Arial" w:cs="Arial"/>
          <w:b/>
          <w:bCs/>
          <w:sz w:val="24"/>
          <w:lang w:val="en-GB"/>
        </w:rPr>
        <w:t>ntra-frequency measurement</w:t>
      </w:r>
      <w:r w:rsidR="00754AAA">
        <w:rPr>
          <w:rFonts w:ascii="Arial" w:eastAsia="Calibri" w:hAnsi="Arial" w:cs="Arial"/>
          <w:b/>
          <w:bCs/>
          <w:sz w:val="24"/>
          <w:lang w:val="en-GB"/>
        </w:rPr>
        <w:t xml:space="preserve"> </w:t>
      </w:r>
      <w:r w:rsidR="007C4C53">
        <w:rPr>
          <w:rFonts w:ascii="Arial" w:eastAsia="Calibri" w:hAnsi="Arial" w:cs="Arial"/>
          <w:b/>
          <w:bCs/>
          <w:sz w:val="24"/>
          <w:lang w:val="en-GB"/>
        </w:rPr>
        <w:t>with multiple SCells</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54AAA">
        <w:rPr>
          <w:rFonts w:ascii="Arial" w:eastAsia="MS Mincho" w:hAnsi="Arial" w:cs="Arial"/>
          <w:b/>
          <w:bCs/>
          <w:sz w:val="24"/>
          <w:szCs w:val="20"/>
          <w:lang w:val="en-GB"/>
        </w:rPr>
        <w:t>5.2.4.1.1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5D0338" w:rsidRDefault="007A6422" w:rsidP="00754AAA">
      <w:pPr>
        <w:ind w:right="-23"/>
        <w:rPr>
          <w:rFonts w:eastAsia="Calibri" w:cs="Times New Roman"/>
          <w:szCs w:val="20"/>
        </w:rPr>
      </w:pPr>
      <w:r>
        <w:rPr>
          <w:rFonts w:eastAsia="Calibri" w:cs="Times New Roman"/>
          <w:szCs w:val="20"/>
        </w:rPr>
        <w:t xml:space="preserve">RAN4 is discussing the </w:t>
      </w:r>
      <w:bookmarkStart w:id="4" w:name="_Hlk513205245"/>
      <w:r w:rsidR="00F03CC9">
        <w:rPr>
          <w:rFonts w:eastAsia="Calibri" w:cs="Times New Roman"/>
          <w:szCs w:val="20"/>
        </w:rPr>
        <w:t>intra-frequency measurement requirements for NR</w:t>
      </w:r>
      <w:r w:rsidR="00754AAA">
        <w:rPr>
          <w:rFonts w:eastAsia="Calibri" w:cs="Times New Roman"/>
          <w:szCs w:val="20"/>
        </w:rPr>
        <w:t xml:space="preserve">. </w:t>
      </w:r>
      <w:r w:rsidR="00F03CC9">
        <w:rPr>
          <w:rFonts w:eastAsia="Calibri" w:cs="Times New Roman"/>
          <w:szCs w:val="20"/>
        </w:rPr>
        <w:t xml:space="preserve">For </w:t>
      </w:r>
      <w:r w:rsidR="00F03CC9" w:rsidRPr="00F03CC9">
        <w:rPr>
          <w:rFonts w:eastAsia="Calibri" w:cs="Times New Roman"/>
          <w:szCs w:val="20"/>
        </w:rPr>
        <w:t>intra-frequency</w:t>
      </w:r>
      <w:r w:rsidR="00F03CC9">
        <w:rPr>
          <w:rFonts w:eastAsia="Calibri" w:cs="Times New Roman"/>
          <w:szCs w:val="20"/>
        </w:rPr>
        <w:t xml:space="preserve"> measurement without MG, </w:t>
      </w:r>
      <w:r w:rsidR="005D0338">
        <w:rPr>
          <w:rFonts w:eastAsia="Calibri" w:cs="Times New Roman"/>
          <w:szCs w:val="20"/>
        </w:rPr>
        <w:t>CR</w:t>
      </w:r>
      <w:r w:rsidR="00E52560">
        <w:rPr>
          <w:rFonts w:eastAsia="Calibri" w:cs="Times New Roman"/>
          <w:szCs w:val="20"/>
        </w:rPr>
        <w:t xml:space="preserve"> </w:t>
      </w:r>
      <w:r w:rsidR="00E52560">
        <w:rPr>
          <w:rFonts w:eastAsia="Calibri" w:cs="Times New Roman"/>
          <w:szCs w:val="20"/>
        </w:rPr>
        <w:fldChar w:fldCharType="begin"/>
      </w:r>
      <w:r w:rsidR="00E52560">
        <w:rPr>
          <w:rFonts w:eastAsia="Calibri" w:cs="Times New Roman"/>
          <w:szCs w:val="20"/>
        </w:rPr>
        <w:instrText xml:space="preserve"> REF _Ref517446342 \r \h </w:instrText>
      </w:r>
      <w:r w:rsidR="00E52560">
        <w:rPr>
          <w:rFonts w:eastAsia="Calibri" w:cs="Times New Roman"/>
          <w:szCs w:val="20"/>
        </w:rPr>
      </w:r>
      <w:r w:rsidR="00E52560">
        <w:rPr>
          <w:rFonts w:eastAsia="Calibri" w:cs="Times New Roman"/>
          <w:szCs w:val="20"/>
        </w:rPr>
        <w:fldChar w:fldCharType="separate"/>
      </w:r>
      <w:r w:rsidR="00E52560">
        <w:rPr>
          <w:rFonts w:eastAsia="Calibri" w:cs="Times New Roman"/>
          <w:szCs w:val="20"/>
        </w:rPr>
        <w:t>[1]</w:t>
      </w:r>
      <w:r w:rsidR="00E52560">
        <w:rPr>
          <w:rFonts w:eastAsia="Calibri" w:cs="Times New Roman"/>
          <w:szCs w:val="20"/>
        </w:rPr>
        <w:fldChar w:fldCharType="end"/>
      </w:r>
      <w:r w:rsidR="005D0338">
        <w:rPr>
          <w:rFonts w:cs="Times New Roman" w:hint="eastAsia"/>
          <w:szCs w:val="20"/>
          <w:lang w:eastAsia="zh-CN"/>
        </w:rPr>
        <w:t xml:space="preserve"> is agreed in RAN4#87 which captures all </w:t>
      </w:r>
      <w:r w:rsidR="005D0338">
        <w:rPr>
          <w:rFonts w:cs="Times New Roman"/>
          <w:szCs w:val="20"/>
          <w:lang w:eastAsia="zh-CN"/>
        </w:rPr>
        <w:t>the</w:t>
      </w:r>
      <w:r w:rsidR="005D0338">
        <w:rPr>
          <w:rFonts w:cs="Times New Roman" w:hint="eastAsia"/>
          <w:szCs w:val="20"/>
          <w:lang w:eastAsia="zh-CN"/>
        </w:rPr>
        <w:t xml:space="preserve"> </w:t>
      </w:r>
      <w:r w:rsidR="005D0338">
        <w:rPr>
          <w:rFonts w:cs="Times New Roman"/>
          <w:szCs w:val="20"/>
          <w:lang w:eastAsia="zh-CN"/>
        </w:rPr>
        <w:t xml:space="preserve">agreements made during the meeting. In our understanding, </w:t>
      </w:r>
      <w:r w:rsidR="005D0338">
        <w:rPr>
          <w:rFonts w:eastAsia="Calibri" w:cs="Times New Roman"/>
          <w:szCs w:val="20"/>
        </w:rPr>
        <w:t>the</w:t>
      </w:r>
      <w:r w:rsidR="00754AAA">
        <w:rPr>
          <w:rFonts w:eastAsia="Calibri" w:cs="Times New Roman"/>
          <w:szCs w:val="20"/>
        </w:rPr>
        <w:t xml:space="preserve"> remaining open issue</w:t>
      </w:r>
      <w:r w:rsidR="005D0338">
        <w:rPr>
          <w:rFonts w:eastAsia="Calibri" w:cs="Times New Roman"/>
          <w:szCs w:val="20"/>
        </w:rPr>
        <w:t>s</w:t>
      </w:r>
      <w:r w:rsidR="00754AAA">
        <w:rPr>
          <w:rFonts w:eastAsia="Calibri" w:cs="Times New Roman"/>
          <w:szCs w:val="20"/>
        </w:rPr>
        <w:t xml:space="preserve"> </w:t>
      </w:r>
      <w:r w:rsidR="005D0338">
        <w:rPr>
          <w:rFonts w:eastAsia="Calibri" w:cs="Times New Roman"/>
          <w:szCs w:val="20"/>
        </w:rPr>
        <w:t xml:space="preserve">are </w:t>
      </w:r>
    </w:p>
    <w:p w:rsidR="00F03CC9" w:rsidRPr="005D0338" w:rsidRDefault="005D0338" w:rsidP="000D4E89">
      <w:pPr>
        <w:pStyle w:val="ListParagraph"/>
        <w:numPr>
          <w:ilvl w:val="0"/>
          <w:numId w:val="42"/>
        </w:numPr>
        <w:ind w:right="-23"/>
        <w:rPr>
          <w:rFonts w:eastAsia="Calibri" w:cs="Times New Roman"/>
          <w:szCs w:val="20"/>
        </w:rPr>
      </w:pPr>
      <w:r>
        <w:rPr>
          <w:rFonts w:eastAsia="Calibri" w:cs="Times New Roman"/>
          <w:szCs w:val="20"/>
        </w:rPr>
        <w:t>R</w:t>
      </w:r>
      <w:r w:rsidR="00754AAA" w:rsidRPr="005D0338">
        <w:rPr>
          <w:rFonts w:eastAsia="Calibri" w:cs="Times New Roman"/>
          <w:szCs w:val="20"/>
        </w:rPr>
        <w:t xml:space="preserve">equirements </w:t>
      </w:r>
      <w:r w:rsidR="00F03CC9" w:rsidRPr="005D0338">
        <w:rPr>
          <w:rFonts w:eastAsia="Calibri" w:cs="Times New Roman"/>
          <w:szCs w:val="20"/>
        </w:rPr>
        <w:t xml:space="preserve">for multiple serving </w:t>
      </w:r>
      <w:r w:rsidR="00EF236A" w:rsidRPr="005D0338">
        <w:rPr>
          <w:rFonts w:eastAsia="Calibri" w:cs="Times New Roman"/>
          <w:szCs w:val="20"/>
        </w:rPr>
        <w:t xml:space="preserve">cells in </w:t>
      </w:r>
      <w:r w:rsidR="00F03CC9" w:rsidRPr="005D0338">
        <w:rPr>
          <w:rFonts w:eastAsia="Calibri" w:cs="Times New Roman"/>
          <w:szCs w:val="20"/>
        </w:rPr>
        <w:t>NR CA</w:t>
      </w:r>
      <w:r w:rsidR="00754AAA" w:rsidRPr="005D0338">
        <w:rPr>
          <w:rFonts w:eastAsia="Calibri" w:cs="Times New Roman"/>
          <w:szCs w:val="20"/>
          <w:vertAlign w:val="subscript"/>
        </w:rPr>
        <w:t xml:space="preserve"> </w:t>
      </w:r>
    </w:p>
    <w:p w:rsidR="005D0338" w:rsidRDefault="005D0338" w:rsidP="000D4E89">
      <w:pPr>
        <w:pStyle w:val="ListParagraph"/>
        <w:numPr>
          <w:ilvl w:val="0"/>
          <w:numId w:val="42"/>
        </w:numPr>
        <w:ind w:right="-23"/>
        <w:rPr>
          <w:rFonts w:eastAsia="Calibri" w:cs="Times New Roman"/>
          <w:szCs w:val="20"/>
        </w:rPr>
      </w:pPr>
      <w:r>
        <w:rPr>
          <w:rFonts w:eastAsia="Calibri" w:cs="Times New Roman"/>
          <w:szCs w:val="20"/>
        </w:rPr>
        <w:t>Requirements for the case where SMTC is fully overlapping with MG</w:t>
      </w:r>
    </w:p>
    <w:p w:rsidR="005D0338" w:rsidRPr="005D0338" w:rsidRDefault="005D0338" w:rsidP="000D4E89">
      <w:pPr>
        <w:pStyle w:val="ListParagraph"/>
        <w:numPr>
          <w:ilvl w:val="0"/>
          <w:numId w:val="42"/>
        </w:numPr>
        <w:rPr>
          <w:rFonts w:eastAsia="Calibri" w:cs="Times New Roman"/>
          <w:szCs w:val="20"/>
        </w:rPr>
      </w:pPr>
      <w:r w:rsidRPr="005D0338">
        <w:rPr>
          <w:rFonts w:eastAsia="Calibri" w:cs="Times New Roman"/>
          <w:szCs w:val="20"/>
        </w:rPr>
        <w:t>Scaling factor for Rx beam sweeping in FR2</w:t>
      </w:r>
    </w:p>
    <w:p w:rsidR="00F03CC9" w:rsidRDefault="00F03CC9" w:rsidP="000D4E89">
      <w:pPr>
        <w:pStyle w:val="ListParagraph"/>
        <w:numPr>
          <w:ilvl w:val="0"/>
          <w:numId w:val="42"/>
        </w:numPr>
        <w:ind w:right="-23"/>
        <w:rPr>
          <w:rFonts w:eastAsia="Calibri" w:cs="Times New Roman"/>
          <w:szCs w:val="20"/>
        </w:rPr>
      </w:pPr>
      <w:r>
        <w:rPr>
          <w:rFonts w:eastAsia="Calibri" w:cs="Times New Roman"/>
          <w:szCs w:val="20"/>
        </w:rPr>
        <w:t xml:space="preserve">Requirements with </w:t>
      </w:r>
      <w:r w:rsidR="005D0338">
        <w:rPr>
          <w:rFonts w:eastAsia="Calibri" w:cs="Times New Roman"/>
          <w:szCs w:val="20"/>
        </w:rPr>
        <w:t xml:space="preserve">separate </w:t>
      </w:r>
      <w:r w:rsidR="00B53D00">
        <w:rPr>
          <w:rFonts w:eastAsia="Calibri" w:cs="Times New Roman"/>
          <w:szCs w:val="20"/>
        </w:rPr>
        <w:t>DRX</w:t>
      </w:r>
      <w:r w:rsidR="005D0338">
        <w:rPr>
          <w:rFonts w:eastAsia="Calibri" w:cs="Times New Roman"/>
          <w:szCs w:val="20"/>
        </w:rPr>
        <w:t xml:space="preserve"> configuration in MN and SN</w:t>
      </w:r>
    </w:p>
    <w:p w:rsidR="005D0338" w:rsidRDefault="005D0338" w:rsidP="000D4E89">
      <w:pPr>
        <w:pStyle w:val="ListParagraph"/>
        <w:numPr>
          <w:ilvl w:val="0"/>
          <w:numId w:val="42"/>
        </w:numPr>
        <w:ind w:right="-23"/>
        <w:rPr>
          <w:rFonts w:eastAsia="Calibri" w:cs="Times New Roman"/>
          <w:szCs w:val="20"/>
        </w:rPr>
      </w:pPr>
      <w:r>
        <w:rPr>
          <w:rFonts w:eastAsia="Calibri" w:cs="Times New Roman"/>
          <w:szCs w:val="20"/>
        </w:rPr>
        <w:t>Requirements for de-activated SCell in FR2</w:t>
      </w:r>
    </w:p>
    <w:p w:rsidR="00EF236A" w:rsidRDefault="00EF236A" w:rsidP="000D4E89">
      <w:pPr>
        <w:pStyle w:val="ListParagraph"/>
        <w:numPr>
          <w:ilvl w:val="0"/>
          <w:numId w:val="42"/>
        </w:numPr>
        <w:ind w:right="-23"/>
        <w:rPr>
          <w:rFonts w:eastAsia="Calibri" w:cs="Times New Roman"/>
          <w:szCs w:val="20"/>
        </w:rPr>
      </w:pPr>
      <w:r>
        <w:rPr>
          <w:rFonts w:eastAsia="Calibri" w:cs="Times New Roman"/>
          <w:szCs w:val="20"/>
        </w:rPr>
        <w:t>Requirements with full overlapped SMTC and RLM-RS in FR2</w:t>
      </w:r>
    </w:p>
    <w:p w:rsidR="00126990" w:rsidRPr="00126990" w:rsidRDefault="00C42DCE" w:rsidP="00C74935">
      <w:pPr>
        <w:ind w:right="-23"/>
        <w:rPr>
          <w:rFonts w:eastAsia="Calibri" w:cs="Times New Roman"/>
          <w:szCs w:val="20"/>
        </w:rPr>
      </w:pPr>
      <w:r>
        <w:rPr>
          <w:rFonts w:eastAsia="Calibri" w:cs="Times New Roman"/>
          <w:szCs w:val="20"/>
        </w:rPr>
        <w:t xml:space="preserve">In this paper, we will focus on the first </w:t>
      </w:r>
      <w:r w:rsidR="007C4C53">
        <w:rPr>
          <w:rFonts w:eastAsia="Calibri" w:cs="Times New Roman"/>
          <w:szCs w:val="20"/>
        </w:rPr>
        <w:t>issue</w:t>
      </w:r>
      <w:r>
        <w:rPr>
          <w:rFonts w:eastAsia="Calibri" w:cs="Times New Roman"/>
          <w:szCs w:val="20"/>
        </w:rPr>
        <w:t>, and the other issues are addressed in our companion papers</w:t>
      </w:r>
      <w:r w:rsidR="00B53D00">
        <w:rPr>
          <w:rFonts w:eastAsia="Calibri" w:cs="Times New Roman"/>
          <w:szCs w:val="20"/>
        </w:rPr>
        <w:t>.</w:t>
      </w:r>
      <w:bookmarkStart w:id="5" w:name="_Hlk513205847"/>
      <w:bookmarkEnd w:id="4"/>
      <w:r>
        <w:rPr>
          <w:rFonts w:eastAsia="Calibri" w:cs="Times New Roman"/>
          <w:szCs w:val="20"/>
        </w:rPr>
        <w:t xml:space="preserve"> W</w:t>
      </w:r>
      <w:r w:rsidR="00C203DD">
        <w:rPr>
          <w:rFonts w:eastAsia="Calibri" w:cs="Times New Roman"/>
          <w:szCs w:val="20"/>
        </w:rPr>
        <w:t xml:space="preserve">e will provide our views on </w:t>
      </w:r>
      <w:r w:rsidR="00B53D00">
        <w:rPr>
          <w:rFonts w:eastAsia="Calibri" w:cs="Times New Roman"/>
          <w:szCs w:val="20"/>
        </w:rPr>
        <w:t>how to define intra-frequency measurement requirements for CA</w:t>
      </w:r>
      <w:r w:rsidR="00C203DD">
        <w:rPr>
          <w:rFonts w:eastAsia="Calibri" w:cs="Times New Roman"/>
          <w:szCs w:val="20"/>
        </w:rPr>
        <w:t xml:space="preserve">. </w:t>
      </w:r>
    </w:p>
    <w:bookmarkEnd w:id="5"/>
    <w:p w:rsidR="003B659E" w:rsidRDefault="003B659E" w:rsidP="00AE56B1">
      <w:pPr>
        <w:pStyle w:val="RAN4H1"/>
      </w:pPr>
      <w:r w:rsidRPr="00AE56B1">
        <w:t>Discussion</w:t>
      </w:r>
    </w:p>
    <w:p w:rsidR="001625F8" w:rsidRDefault="00E52560" w:rsidP="001625F8">
      <w:pPr>
        <w:ind w:right="-23"/>
        <w:rPr>
          <w:rFonts w:eastAsia="Calibri" w:cs="Times New Roman"/>
          <w:szCs w:val="20"/>
        </w:rPr>
      </w:pPr>
      <w:bookmarkStart w:id="6" w:name="_Hlk513733380"/>
      <w:r>
        <w:rPr>
          <w:rFonts w:eastAsia="Calibri" w:cs="Times New Roman"/>
          <w:szCs w:val="20"/>
        </w:rPr>
        <w:t>In RAN4#86bis, t</w:t>
      </w:r>
      <w:r w:rsidR="001625F8">
        <w:rPr>
          <w:rFonts w:eastAsia="Calibri" w:cs="Times New Roman"/>
          <w:szCs w:val="20"/>
        </w:rPr>
        <w:t xml:space="preserve">he agreements in </w:t>
      </w:r>
      <w:r w:rsidR="001625F8">
        <w:rPr>
          <w:rFonts w:eastAsia="Calibri" w:cs="Times New Roman"/>
          <w:szCs w:val="20"/>
        </w:rPr>
        <w:fldChar w:fldCharType="begin"/>
      </w:r>
      <w:r w:rsidR="001625F8">
        <w:rPr>
          <w:rFonts w:eastAsia="Calibri" w:cs="Times New Roman"/>
          <w:szCs w:val="20"/>
        </w:rPr>
        <w:instrText xml:space="preserve"> REF _Ref513728799 \r \h </w:instrText>
      </w:r>
      <w:r w:rsidR="001625F8">
        <w:rPr>
          <w:rFonts w:eastAsia="Calibri" w:cs="Times New Roman"/>
          <w:szCs w:val="20"/>
        </w:rPr>
      </w:r>
      <w:r w:rsidR="001625F8">
        <w:rPr>
          <w:rFonts w:eastAsia="Calibri" w:cs="Times New Roman"/>
          <w:szCs w:val="20"/>
        </w:rPr>
        <w:fldChar w:fldCharType="separate"/>
      </w:r>
      <w:r w:rsidR="001625F8">
        <w:rPr>
          <w:rFonts w:eastAsia="Calibri" w:cs="Times New Roman"/>
          <w:szCs w:val="20"/>
        </w:rPr>
        <w:t>[2]</w:t>
      </w:r>
      <w:r w:rsidR="001625F8">
        <w:rPr>
          <w:rFonts w:eastAsia="Calibri" w:cs="Times New Roman"/>
          <w:szCs w:val="20"/>
        </w:rPr>
        <w:fldChar w:fldCharType="end"/>
      </w:r>
      <w:r w:rsidR="001625F8">
        <w:rPr>
          <w:rFonts w:eastAsia="Calibri" w:cs="Times New Roman"/>
          <w:szCs w:val="20"/>
        </w:rPr>
        <w:t xml:space="preserve"> on </w:t>
      </w:r>
      <w:r w:rsidR="00100DF1">
        <w:rPr>
          <w:rFonts w:eastAsia="Calibri" w:cs="Times New Roman"/>
          <w:szCs w:val="20"/>
        </w:rPr>
        <w:t xml:space="preserve">CA </w:t>
      </w:r>
      <w:r w:rsidR="001625F8">
        <w:rPr>
          <w:rFonts w:eastAsia="Calibri" w:cs="Times New Roman"/>
          <w:szCs w:val="20"/>
        </w:rPr>
        <w:t>requirements are as follows.</w:t>
      </w:r>
    </w:p>
    <w:tbl>
      <w:tblPr>
        <w:tblStyle w:val="TableGrid"/>
        <w:tblW w:w="0" w:type="auto"/>
        <w:tblLook w:val="04A0" w:firstRow="1" w:lastRow="0" w:firstColumn="1" w:lastColumn="0" w:noHBand="0" w:noVBand="1"/>
      </w:tblPr>
      <w:tblGrid>
        <w:gridCol w:w="9617"/>
      </w:tblGrid>
      <w:tr w:rsidR="001625F8" w:rsidTr="001625F8">
        <w:tc>
          <w:tcPr>
            <w:tcW w:w="9617" w:type="dxa"/>
          </w:tcPr>
          <w:bookmarkEnd w:id="6"/>
          <w:p w:rsidR="00A7492F" w:rsidRPr="00AE6451" w:rsidRDefault="008C6F57" w:rsidP="00AE6451">
            <w:pPr>
              <w:numPr>
                <w:ilvl w:val="0"/>
                <w:numId w:val="30"/>
              </w:numPr>
              <w:ind w:right="-23"/>
              <w:rPr>
                <w:rFonts w:eastAsia="Calibri" w:cs="Times New Roman"/>
                <w:szCs w:val="20"/>
              </w:rPr>
            </w:pPr>
            <w:r w:rsidRPr="00AE6451">
              <w:rPr>
                <w:rFonts w:eastAsia="Calibri" w:cs="Times New Roman"/>
                <w:szCs w:val="20"/>
              </w:rPr>
              <w:t>The requirement of single frequency layer is further scaled by the parameter K</w:t>
            </w:r>
            <w:r w:rsidRPr="00AE6451">
              <w:rPr>
                <w:rFonts w:eastAsia="Calibri" w:cs="Times New Roman"/>
                <w:szCs w:val="20"/>
                <w:vertAlign w:val="subscript"/>
              </w:rPr>
              <w:t xml:space="preserve">ca  </w:t>
            </w:r>
            <w:r w:rsidRPr="00AE6451">
              <w:rPr>
                <w:rFonts w:eastAsia="Calibri" w:cs="Times New Roman"/>
                <w:szCs w:val="20"/>
              </w:rPr>
              <w:t>which is a carrier-specific scaling factor, considering the multiple frequency layers</w:t>
            </w:r>
          </w:p>
          <w:p w:rsidR="00A7492F" w:rsidRPr="00AE6451" w:rsidRDefault="008C6F57" w:rsidP="00AE6451">
            <w:pPr>
              <w:numPr>
                <w:ilvl w:val="1"/>
                <w:numId w:val="30"/>
              </w:numPr>
              <w:ind w:right="-23"/>
              <w:rPr>
                <w:rFonts w:eastAsia="Calibri" w:cs="Times New Roman"/>
                <w:szCs w:val="20"/>
              </w:rPr>
            </w:pPr>
            <w:r w:rsidRPr="00AE6451">
              <w:rPr>
                <w:rFonts w:eastAsia="Calibri" w:cs="Times New Roman"/>
                <w:szCs w:val="20"/>
              </w:rPr>
              <w:t>K</w:t>
            </w:r>
            <w:r w:rsidRPr="00AE6451">
              <w:rPr>
                <w:rFonts w:eastAsia="Calibri" w:cs="Times New Roman"/>
                <w:szCs w:val="20"/>
                <w:vertAlign w:val="subscript"/>
              </w:rPr>
              <w:t xml:space="preserve">ca </w:t>
            </w:r>
            <w:r w:rsidRPr="00AE6451">
              <w:rPr>
                <w:rFonts w:eastAsia="Calibri" w:cs="Times New Roman"/>
                <w:szCs w:val="20"/>
              </w:rPr>
              <w:t xml:space="preserve">= 1, for the target frequency layer with NR </w:t>
            </w:r>
            <w:r w:rsidRPr="00AE6451">
              <w:rPr>
                <w:rFonts w:eastAsia="Calibri" w:cs="Times New Roman"/>
                <w:szCs w:val="20"/>
                <w:lang w:val="en-GB"/>
              </w:rPr>
              <w:t xml:space="preserve">PCell and </w:t>
            </w:r>
            <w:r w:rsidRPr="00AE6451">
              <w:rPr>
                <w:rFonts w:eastAsia="Calibri" w:cs="Times New Roman"/>
                <w:szCs w:val="20"/>
              </w:rPr>
              <w:t xml:space="preserve">NR </w:t>
            </w:r>
            <w:r w:rsidRPr="00AE6451">
              <w:rPr>
                <w:rFonts w:eastAsia="Calibri" w:cs="Times New Roman"/>
                <w:szCs w:val="20"/>
                <w:lang w:val="en-GB"/>
              </w:rPr>
              <w:t>PSCell.</w:t>
            </w:r>
          </w:p>
          <w:p w:rsidR="00A7492F" w:rsidRPr="00AE6451" w:rsidRDefault="008C6F57" w:rsidP="00AE6451">
            <w:pPr>
              <w:numPr>
                <w:ilvl w:val="1"/>
                <w:numId w:val="30"/>
              </w:numPr>
              <w:ind w:right="-23"/>
              <w:rPr>
                <w:rFonts w:eastAsia="Calibri" w:cs="Times New Roman"/>
                <w:szCs w:val="20"/>
              </w:rPr>
            </w:pPr>
            <w:r w:rsidRPr="00AE6451">
              <w:rPr>
                <w:rFonts w:eastAsia="Calibri" w:cs="Times New Roman"/>
                <w:szCs w:val="20"/>
              </w:rPr>
              <w:t>K</w:t>
            </w:r>
            <w:r w:rsidRPr="00AE6451">
              <w:rPr>
                <w:rFonts w:eastAsia="Calibri" w:cs="Times New Roman"/>
                <w:szCs w:val="20"/>
                <w:vertAlign w:val="subscript"/>
              </w:rPr>
              <w:t xml:space="preserve">ca </w:t>
            </w:r>
            <w:r w:rsidRPr="00AE6451">
              <w:rPr>
                <w:rFonts w:eastAsia="Calibri" w:cs="Times New Roman"/>
                <w:szCs w:val="20"/>
              </w:rPr>
              <w:t xml:space="preserve">= [TBD], for the target frequency layers with NR </w:t>
            </w:r>
            <w:r w:rsidRPr="00AE6451">
              <w:rPr>
                <w:rFonts w:eastAsia="Calibri" w:cs="Times New Roman"/>
                <w:szCs w:val="20"/>
                <w:lang w:val="en-GB"/>
              </w:rPr>
              <w:t>SCells</w:t>
            </w:r>
            <w:r w:rsidRPr="00AE6451">
              <w:rPr>
                <w:rFonts w:eastAsia="Calibri" w:cs="Times New Roman"/>
                <w:szCs w:val="20"/>
              </w:rPr>
              <w:t xml:space="preserve">. </w:t>
            </w:r>
          </w:p>
          <w:p w:rsidR="001625F8" w:rsidRPr="00AE6451" w:rsidRDefault="008C6F57" w:rsidP="00AE6451">
            <w:pPr>
              <w:numPr>
                <w:ilvl w:val="2"/>
                <w:numId w:val="30"/>
              </w:numPr>
              <w:ind w:right="-23"/>
              <w:rPr>
                <w:rFonts w:eastAsia="Calibri" w:cs="Times New Roman"/>
                <w:szCs w:val="20"/>
              </w:rPr>
            </w:pPr>
            <w:r w:rsidRPr="00AE6451">
              <w:rPr>
                <w:rFonts w:eastAsia="Calibri" w:cs="Times New Roman"/>
                <w:szCs w:val="20"/>
              </w:rPr>
              <w:t>The value may refer to the RAN4 conclusion on scaling/grouping rules of inter-frequency measurement.</w:t>
            </w:r>
          </w:p>
        </w:tc>
      </w:tr>
    </w:tbl>
    <w:p w:rsidR="00274FE4" w:rsidRDefault="00274FE4" w:rsidP="00E246CE">
      <w:pPr>
        <w:pStyle w:val="RAN4H2"/>
      </w:pPr>
      <w:r w:rsidRPr="00274FE4">
        <w:t>FR1 only case</w:t>
      </w:r>
    </w:p>
    <w:p w:rsidR="00E52560" w:rsidRDefault="00E52560" w:rsidP="001625F8">
      <w:pPr>
        <w:ind w:right="-23"/>
        <w:rPr>
          <w:rFonts w:eastAsia="Calibri" w:cs="Times New Roman"/>
          <w:szCs w:val="20"/>
        </w:rPr>
      </w:pPr>
      <w:r>
        <w:rPr>
          <w:rFonts w:eastAsia="Calibri" w:cs="Times New Roman"/>
          <w:szCs w:val="20"/>
        </w:rPr>
        <w:t xml:space="preserve">In RAN4#87, it is further agreed during the AH session that for FR1 only case (UE only has FR1 serving cells), </w:t>
      </w:r>
      <w:r w:rsidRPr="00E52560">
        <w:rPr>
          <w:rFonts w:eastAsia="Calibri" w:cs="Times New Roman"/>
          <w:szCs w:val="20"/>
        </w:rPr>
        <w:t>1 additional searcher equivalent</w:t>
      </w:r>
      <w:r>
        <w:rPr>
          <w:rFonts w:eastAsia="Calibri" w:cs="Times New Roman"/>
          <w:szCs w:val="20"/>
        </w:rPr>
        <w:t xml:space="preserve"> </w:t>
      </w:r>
      <w:r w:rsidR="00274FE4">
        <w:rPr>
          <w:rFonts w:eastAsia="Calibri" w:cs="Times New Roman"/>
          <w:szCs w:val="20"/>
        </w:rPr>
        <w:t xml:space="preserve">(2 searchers) </w:t>
      </w:r>
      <w:r>
        <w:rPr>
          <w:rFonts w:eastAsia="Calibri" w:cs="Times New Roman"/>
          <w:szCs w:val="20"/>
        </w:rPr>
        <w:t xml:space="preserve">is assumed for defining the requirements. Together with RAN4#86bis agreement, it means UE would dedicate one searcher for PCell </w:t>
      </w:r>
      <w:r w:rsidR="00274FE4">
        <w:rPr>
          <w:rFonts w:eastAsia="Calibri" w:cs="Times New Roman"/>
          <w:szCs w:val="20"/>
        </w:rPr>
        <w:t xml:space="preserve">(SA) </w:t>
      </w:r>
      <w:r>
        <w:rPr>
          <w:rFonts w:eastAsia="Calibri" w:cs="Times New Roman"/>
          <w:szCs w:val="20"/>
        </w:rPr>
        <w:t xml:space="preserve">and PSCell </w:t>
      </w:r>
      <w:r w:rsidR="00274FE4">
        <w:rPr>
          <w:rFonts w:eastAsia="Calibri" w:cs="Times New Roman"/>
          <w:szCs w:val="20"/>
        </w:rPr>
        <w:t xml:space="preserve">(NSA), and the other one searcher is </w:t>
      </w:r>
      <w:r w:rsidR="009153D4">
        <w:rPr>
          <w:rFonts w:eastAsia="Calibri" w:cs="Times New Roman"/>
          <w:szCs w:val="20"/>
        </w:rPr>
        <w:t xml:space="preserve">shared among all SCells. </w:t>
      </w:r>
      <w:r w:rsidR="00E53F93">
        <w:rPr>
          <w:rFonts w:eastAsia="Calibri" w:cs="Times New Roman"/>
          <w:szCs w:val="20"/>
        </w:rPr>
        <w:t xml:space="preserve">Correspondingly, the scaling factor for intra-frequency requirements are defined as </w:t>
      </w:r>
    </w:p>
    <w:tbl>
      <w:tblPr>
        <w:tblStyle w:val="TableGrid"/>
        <w:tblW w:w="0" w:type="auto"/>
        <w:tblLook w:val="04A0" w:firstRow="1" w:lastRow="0" w:firstColumn="1" w:lastColumn="0" w:noHBand="0" w:noVBand="1"/>
      </w:tblPr>
      <w:tblGrid>
        <w:gridCol w:w="9617"/>
      </w:tblGrid>
      <w:tr w:rsidR="00E53F93" w:rsidTr="00E53F93">
        <w:tc>
          <w:tcPr>
            <w:tcW w:w="9617" w:type="dxa"/>
          </w:tcPr>
          <w:p w:rsidR="00E53F93" w:rsidRPr="00E53F93" w:rsidRDefault="00E53F93" w:rsidP="00E53F93">
            <w:pPr>
              <w:spacing w:before="0" w:after="180"/>
              <w:ind w:left="568" w:hanging="284"/>
              <w:rPr>
                <w:rFonts w:eastAsia="宋体" w:cs="Times New Roman"/>
                <w:szCs w:val="20"/>
                <w:lang w:val="en-GB"/>
              </w:rPr>
            </w:pPr>
            <w:r w:rsidRPr="00E53F93">
              <w:rPr>
                <w:rFonts w:eastAsia="宋体" w:cs="Times New Roman"/>
                <w:szCs w:val="20"/>
                <w:lang w:val="en-GB"/>
              </w:rPr>
              <w:t>K</w:t>
            </w:r>
            <w:r w:rsidRPr="00E53F93">
              <w:rPr>
                <w:rFonts w:eastAsia="宋体" w:cs="Times New Roman"/>
                <w:szCs w:val="20"/>
                <w:vertAlign w:val="subscript"/>
                <w:lang w:val="en-GB"/>
              </w:rPr>
              <w:t>ca</w:t>
            </w:r>
            <w:r w:rsidRPr="00E53F93">
              <w:rPr>
                <w:rFonts w:eastAsia="宋体" w:cs="Times New Roman"/>
                <w:szCs w:val="20"/>
                <w:lang w:val="en-GB"/>
              </w:rPr>
              <w:t>: For FR1, K</w:t>
            </w:r>
            <w:r w:rsidRPr="00E53F93">
              <w:rPr>
                <w:rFonts w:eastAsia="宋体" w:cs="Times New Roman"/>
                <w:szCs w:val="20"/>
                <w:vertAlign w:val="subscript"/>
                <w:lang w:val="en-GB"/>
              </w:rPr>
              <w:t>ca</w:t>
            </w:r>
            <w:r w:rsidRPr="00E53F93">
              <w:rPr>
                <w:rFonts w:eastAsia="宋体" w:cs="Times New Roman"/>
                <w:szCs w:val="20"/>
                <w:lang w:val="en-GB"/>
              </w:rPr>
              <w:t xml:space="preserve"> =1 for measurements on frequencies corresponding to PCell or PSCell, and K</w:t>
            </w:r>
            <w:r w:rsidRPr="00E53F93">
              <w:rPr>
                <w:rFonts w:eastAsia="宋体" w:cs="Times New Roman"/>
                <w:szCs w:val="20"/>
                <w:vertAlign w:val="subscript"/>
                <w:lang w:val="en-GB"/>
              </w:rPr>
              <w:t>ca</w:t>
            </w:r>
            <w:r w:rsidRPr="00E53F93">
              <w:rPr>
                <w:rFonts w:eastAsia="宋体" w:cs="Times New Roman"/>
                <w:szCs w:val="20"/>
                <w:lang w:val="en-GB"/>
              </w:rPr>
              <w:t xml:space="preserve"> =number of configured SCells for measurements on frequencies corresponding to FR1 only SCells</w:t>
            </w:r>
          </w:p>
          <w:p w:rsidR="00E53F93" w:rsidRDefault="00E53F93" w:rsidP="00E53F93">
            <w:pPr>
              <w:spacing w:before="0" w:after="180"/>
              <w:ind w:left="568" w:hanging="284"/>
              <w:rPr>
                <w:rFonts w:eastAsia="宋体" w:cs="Times New Roman"/>
                <w:i/>
                <w:szCs w:val="20"/>
                <w:lang w:val="en-GB"/>
              </w:rPr>
            </w:pPr>
            <w:r w:rsidRPr="00E53F93">
              <w:rPr>
                <w:rFonts w:eastAsia="宋体" w:cs="Times New Roman"/>
                <w:i/>
                <w:szCs w:val="20"/>
                <w:lang w:val="en-GB"/>
              </w:rPr>
              <w:t>Editor’s note : K</w:t>
            </w:r>
            <w:r w:rsidRPr="00E53F93">
              <w:rPr>
                <w:rFonts w:eastAsia="宋体" w:cs="Times New Roman"/>
                <w:i/>
                <w:szCs w:val="20"/>
                <w:vertAlign w:val="subscript"/>
                <w:lang w:val="en-GB"/>
              </w:rPr>
              <w:t>ca</w:t>
            </w:r>
            <w:r w:rsidRPr="00E53F93">
              <w:rPr>
                <w:rFonts w:eastAsia="宋体" w:cs="Times New Roman"/>
                <w:i/>
                <w:szCs w:val="20"/>
                <w:lang w:val="en-GB"/>
              </w:rPr>
              <w:t xml:space="preserve"> for SCells on FR1 assumes that all Scell SMTC are overlapping(definition FFS). K</w:t>
            </w:r>
            <w:r w:rsidRPr="00E53F93">
              <w:rPr>
                <w:rFonts w:eastAsia="宋体" w:cs="Times New Roman"/>
                <w:i/>
                <w:szCs w:val="20"/>
                <w:vertAlign w:val="subscript"/>
                <w:lang w:val="en-GB"/>
              </w:rPr>
              <w:t>ca</w:t>
            </w:r>
            <w:r w:rsidRPr="00E53F93">
              <w:rPr>
                <w:rFonts w:eastAsia="宋体" w:cs="Times New Roman"/>
                <w:i/>
                <w:szCs w:val="20"/>
                <w:lang w:val="en-GB"/>
              </w:rPr>
              <w:t xml:space="preserve"> definition may be  revised for non overlapping Scell SMTCs. </w:t>
            </w:r>
          </w:p>
          <w:p w:rsidR="000D4E89" w:rsidRPr="00E53F93" w:rsidRDefault="000D4E89" w:rsidP="00E53F93">
            <w:pPr>
              <w:spacing w:before="0" w:after="180"/>
              <w:ind w:left="568" w:hanging="284"/>
              <w:rPr>
                <w:rFonts w:eastAsia="宋体" w:cs="Times New Roman"/>
                <w:i/>
                <w:szCs w:val="20"/>
                <w:lang w:val="en-GB"/>
              </w:rPr>
            </w:pPr>
            <w:r w:rsidRPr="000D4E89">
              <w:rPr>
                <w:rFonts w:eastAsia="宋体" w:cs="Times New Roman"/>
                <w:i/>
                <w:szCs w:val="20"/>
                <w:lang w:val="en-GB"/>
              </w:rPr>
              <w:t>Editor’s note:Kca is FFS if any FR2 serving cells are configured</w:t>
            </w:r>
          </w:p>
        </w:tc>
      </w:tr>
    </w:tbl>
    <w:p w:rsidR="00E53F93" w:rsidRDefault="00E53F93" w:rsidP="001625F8">
      <w:pPr>
        <w:ind w:right="-23"/>
        <w:rPr>
          <w:rFonts w:eastAsia="Calibri" w:cs="Times New Roman"/>
          <w:szCs w:val="20"/>
        </w:rPr>
      </w:pPr>
      <w:r>
        <w:rPr>
          <w:rFonts w:eastAsia="Calibri" w:cs="Times New Roman"/>
          <w:szCs w:val="20"/>
        </w:rPr>
        <w:lastRenderedPageBreak/>
        <w:t xml:space="preserve">Kca is defined as </w:t>
      </w:r>
      <w:r w:rsidRPr="00E53F93">
        <w:rPr>
          <w:rFonts w:eastAsia="Calibri" w:cs="Times New Roman"/>
          <w:szCs w:val="20"/>
        </w:rPr>
        <w:t>number of configured SCells for measurements on frequencies corresponding to FR1 only SCells</w:t>
      </w:r>
      <w:r>
        <w:rPr>
          <w:rFonts w:eastAsia="Calibri" w:cs="Times New Roman"/>
          <w:szCs w:val="20"/>
        </w:rPr>
        <w:t xml:space="preserve">, and this is based on assumption that </w:t>
      </w:r>
      <w:r w:rsidRPr="00E53F93">
        <w:rPr>
          <w:rFonts w:eastAsia="Calibri" w:cs="Times New Roman"/>
          <w:szCs w:val="20"/>
        </w:rPr>
        <w:t>all Scell SMTC are overlapping</w:t>
      </w:r>
      <w:r>
        <w:rPr>
          <w:rFonts w:eastAsia="Calibri" w:cs="Times New Roman"/>
          <w:szCs w:val="20"/>
        </w:rPr>
        <w:t>, but how Kca should be defined for non-overlapping SCell SMTC is still open.</w:t>
      </w:r>
    </w:p>
    <w:p w:rsidR="00E53F93" w:rsidRDefault="00E53F93" w:rsidP="00E53F93">
      <w:pPr>
        <w:ind w:right="-23"/>
        <w:rPr>
          <w:rFonts w:eastAsia="Calibri" w:cs="Times New Roman"/>
          <w:szCs w:val="20"/>
        </w:rPr>
      </w:pPr>
      <w:r>
        <w:rPr>
          <w:rFonts w:eastAsia="Calibri" w:cs="Times New Roman"/>
          <w:szCs w:val="20"/>
        </w:rPr>
        <w:t>Since UE can only measure one SCC in an SMTC occasion where multiple SCCs have SMTC window present, the restriction is rather similar to gap based measurement although the root of the restriction is different. Due to this similarity, our view is that the same method for deriving the scaling factor for gap based</w:t>
      </w:r>
      <w:r w:rsidRPr="00A02AF0">
        <w:rPr>
          <w:rFonts w:eastAsia="Calibri" w:cs="Times New Roman"/>
          <w:szCs w:val="20"/>
        </w:rPr>
        <w:t xml:space="preserve"> measurement</w:t>
      </w:r>
      <w:r>
        <w:rPr>
          <w:rFonts w:eastAsia="Calibri" w:cs="Times New Roman"/>
          <w:szCs w:val="20"/>
        </w:rPr>
        <w:t xml:space="preserve"> requirements should be re-used for </w:t>
      </w:r>
      <w:r w:rsidRPr="00A02AF0">
        <w:rPr>
          <w:rFonts w:eastAsia="Calibri" w:cs="Times New Roman"/>
          <w:szCs w:val="20"/>
        </w:rPr>
        <w:t>intra-frequency measurement</w:t>
      </w:r>
      <w:r>
        <w:rPr>
          <w:rFonts w:eastAsia="Calibri" w:cs="Times New Roman"/>
          <w:szCs w:val="20"/>
        </w:rPr>
        <w:t xml:space="preserve"> on SCC without MG. </w:t>
      </w:r>
    </w:p>
    <w:p w:rsidR="001625F8" w:rsidRDefault="00E53F93" w:rsidP="003F5269">
      <w:pPr>
        <w:ind w:right="-23"/>
        <w:rPr>
          <w:rFonts w:eastAsia="Calibri" w:cs="Times New Roman"/>
          <w:szCs w:val="20"/>
        </w:rPr>
      </w:pPr>
      <w:r>
        <w:rPr>
          <w:rFonts w:eastAsia="Calibri" w:cs="Times New Roman"/>
          <w:szCs w:val="20"/>
        </w:rPr>
        <w:t>In RAN4#87, some companies raised the concern that for SCC measurement, there is no MGRP,</w:t>
      </w:r>
      <w:r w:rsidR="003F5269">
        <w:rPr>
          <w:rFonts w:eastAsia="Calibri" w:cs="Times New Roman"/>
          <w:szCs w:val="20"/>
        </w:rPr>
        <w:t xml:space="preserve"> so it is hard to define the repetition period of the measurement. In our view, f</w:t>
      </w:r>
      <w:r w:rsidR="00A02AF0" w:rsidRPr="00E53F93">
        <w:rPr>
          <w:rFonts w:eastAsia="Calibri" w:cs="Times New Roman"/>
          <w:szCs w:val="20"/>
        </w:rPr>
        <w:t xml:space="preserve">or </w:t>
      </w:r>
      <w:r w:rsidR="003F5269">
        <w:rPr>
          <w:rFonts w:eastAsia="Calibri" w:cs="Times New Roman"/>
          <w:szCs w:val="20"/>
        </w:rPr>
        <w:t>gap based</w:t>
      </w:r>
      <w:r w:rsidR="00A02AF0" w:rsidRPr="00E53F93">
        <w:rPr>
          <w:rFonts w:eastAsia="Calibri" w:cs="Times New Roman"/>
          <w:szCs w:val="20"/>
        </w:rPr>
        <w:t xml:space="preserve"> measurement, the </w:t>
      </w:r>
      <w:r w:rsidR="003F5269">
        <w:rPr>
          <w:rFonts w:eastAsia="Calibri" w:cs="Times New Roman"/>
          <w:szCs w:val="20"/>
        </w:rPr>
        <w:t>granularity of the algorithm (unit for defining measurement repetition period)</w:t>
      </w:r>
      <w:r w:rsidR="00074FED">
        <w:rPr>
          <w:rFonts w:eastAsia="Calibri" w:cs="Times New Roman"/>
          <w:szCs w:val="20"/>
        </w:rPr>
        <w:t xml:space="preserve"> is MGRP</w:t>
      </w:r>
      <w:r w:rsidR="00A02AF0" w:rsidRPr="00E53F93">
        <w:rPr>
          <w:rFonts w:eastAsia="Calibri" w:cs="Times New Roman"/>
          <w:szCs w:val="20"/>
        </w:rPr>
        <w:t xml:space="preserve">; </w:t>
      </w:r>
      <w:r w:rsidR="003F5269">
        <w:rPr>
          <w:rFonts w:eastAsia="Calibri" w:cs="Times New Roman"/>
          <w:szCs w:val="20"/>
        </w:rPr>
        <w:t>f</w:t>
      </w:r>
      <w:r w:rsidR="00A02AF0" w:rsidRPr="00A02AF0">
        <w:rPr>
          <w:rFonts w:eastAsia="Calibri" w:cs="Times New Roman"/>
          <w:szCs w:val="20"/>
        </w:rPr>
        <w:t xml:space="preserve">or intra-frequency measurement on SCC without MG, the </w:t>
      </w:r>
      <w:r w:rsidR="003F5269">
        <w:rPr>
          <w:rFonts w:eastAsia="Calibri" w:cs="Times New Roman"/>
          <w:szCs w:val="20"/>
        </w:rPr>
        <w:t>granularity</w:t>
      </w:r>
      <w:r w:rsidR="00A02AF0" w:rsidRPr="00A02AF0">
        <w:rPr>
          <w:rFonts w:eastAsia="Calibri" w:cs="Times New Roman"/>
          <w:szCs w:val="20"/>
        </w:rPr>
        <w:t xml:space="preserve"> </w:t>
      </w:r>
      <w:r w:rsidR="003F5269">
        <w:rPr>
          <w:rFonts w:eastAsia="Calibri" w:cs="Times New Roman"/>
          <w:szCs w:val="20"/>
        </w:rPr>
        <w:t>can simply be</w:t>
      </w:r>
      <w:r w:rsidR="00A02AF0" w:rsidRPr="00A02AF0">
        <w:rPr>
          <w:rFonts w:eastAsia="Calibri" w:cs="Times New Roman"/>
          <w:szCs w:val="20"/>
        </w:rPr>
        <w:t xml:space="preserve"> </w:t>
      </w:r>
      <w:r w:rsidR="003F5269">
        <w:rPr>
          <w:rFonts w:eastAsia="Calibri" w:cs="Times New Roman"/>
          <w:szCs w:val="20"/>
        </w:rPr>
        <w:t>the</w:t>
      </w:r>
      <w:r w:rsidR="00A02AF0" w:rsidRPr="00A02AF0">
        <w:rPr>
          <w:rFonts w:eastAsia="Calibri" w:cs="Times New Roman"/>
          <w:szCs w:val="20"/>
        </w:rPr>
        <w:t xml:space="preserve"> smallest SMTC period</w:t>
      </w:r>
      <w:r w:rsidR="003F5269">
        <w:rPr>
          <w:rFonts w:eastAsia="Calibri" w:cs="Times New Roman"/>
          <w:szCs w:val="20"/>
        </w:rPr>
        <w:t xml:space="preserve"> among a group of SCCs with overlapping SMTC</w:t>
      </w:r>
      <w:r w:rsidR="00A02AF0" w:rsidRPr="00A02AF0">
        <w:rPr>
          <w:rFonts w:eastAsia="Calibri" w:cs="Times New Roman"/>
          <w:szCs w:val="20"/>
        </w:rPr>
        <w:t>.</w:t>
      </w:r>
    </w:p>
    <w:p w:rsidR="009B2113" w:rsidRDefault="009E3C11" w:rsidP="00074FED">
      <w:pPr>
        <w:pStyle w:val="RAN4proposal"/>
      </w:pPr>
      <w:bookmarkStart w:id="7" w:name="_Ref513734074"/>
      <w:bookmarkStart w:id="8" w:name="_Ref517456726"/>
      <w:r>
        <w:t>The scaling factor Kca for i</w:t>
      </w:r>
      <w:r w:rsidR="00A02AF0">
        <w:t xml:space="preserve">ntra-frequency measurement requirements for </w:t>
      </w:r>
      <w:r w:rsidR="00100DF1">
        <w:t xml:space="preserve">NR </w:t>
      </w:r>
      <w:r w:rsidR="00A02AF0">
        <w:t xml:space="preserve">SCC </w:t>
      </w:r>
      <w:r w:rsidR="00100DF1">
        <w:t xml:space="preserve">(without MG) </w:t>
      </w:r>
      <w:r w:rsidR="00A02AF0">
        <w:t xml:space="preserve">should be defined </w:t>
      </w:r>
      <w:r w:rsidR="00100DF1">
        <w:t xml:space="preserve">in the same way as for </w:t>
      </w:r>
      <w:r>
        <w:t>gap based</w:t>
      </w:r>
      <w:r w:rsidR="00100DF1">
        <w:t xml:space="preserve"> measurement requirements</w:t>
      </w:r>
      <w:bookmarkEnd w:id="7"/>
      <w:r w:rsidR="00074FED">
        <w:t xml:space="preserve">, except that time granularity of the algorithm is </w:t>
      </w:r>
      <w:r w:rsidR="00074FED" w:rsidRPr="00074FED">
        <w:t>the smallest SMTC period among a group of SCCs with overlapping SMTC</w:t>
      </w:r>
      <w:r w:rsidR="00074FED">
        <w:t>.</w:t>
      </w:r>
      <w:bookmarkEnd w:id="8"/>
    </w:p>
    <w:p w:rsidR="00074FED" w:rsidRDefault="00074FED" w:rsidP="00E246CE">
      <w:pPr>
        <w:pStyle w:val="RAN4H2"/>
      </w:pPr>
      <w:r>
        <w:t xml:space="preserve">FR2 only case </w:t>
      </w:r>
    </w:p>
    <w:p w:rsidR="00074FED" w:rsidRDefault="00074FED" w:rsidP="00074FED">
      <w:r>
        <w:t xml:space="preserve">In RAN4#87, some issues on FR2 searchers are raised up by chipset vendors. For example, some companies think there can be dedicated searcher for FR2, but only one can be supported due to the complexity caused by high sampling rate (high SCS). Some other companies think </w:t>
      </w:r>
      <w:r w:rsidR="005240B7">
        <w:t>the searchers should be shared between FR1 and FR2, so there can be more than one searchers. There was no conclusion on UE searcher assumption in RAN4#87.</w:t>
      </w:r>
    </w:p>
    <w:p w:rsidR="005240B7" w:rsidRDefault="005240B7" w:rsidP="00074FED">
      <w:r>
        <w:t>In our view, the assumption may not be needed provided the conclusion on UE measurement capability discussion.</w:t>
      </w:r>
      <w:r w:rsidR="00C0541A">
        <w:t xml:space="preserve"> The highlighted requirement, which is agreed also in RAN4#87 but in a separate discussion, means that UE does not need to perform cell searching on SCC in FR2. This is because in Rel-15, there is no inter-band CA per RF session agreement, i.e. UE is only supposed to support one band in FR2. Together with the highlighted agreement, UE is only required to search for neighbor cells (where searcher is involved) on the PCC and PSCC if UE has only FR2 serving cells. </w:t>
      </w:r>
    </w:p>
    <w:tbl>
      <w:tblPr>
        <w:tblStyle w:val="TableGrid"/>
        <w:tblW w:w="0" w:type="auto"/>
        <w:tblLook w:val="04A0" w:firstRow="1" w:lastRow="0" w:firstColumn="1" w:lastColumn="0" w:noHBand="0" w:noVBand="1"/>
      </w:tblPr>
      <w:tblGrid>
        <w:gridCol w:w="9617"/>
      </w:tblGrid>
      <w:tr w:rsidR="005240B7" w:rsidTr="005240B7">
        <w:tc>
          <w:tcPr>
            <w:tcW w:w="9617" w:type="dxa"/>
          </w:tcPr>
          <w:p w:rsidR="005240B7" w:rsidRPr="005240B7" w:rsidRDefault="005240B7" w:rsidP="005240B7">
            <w:pPr>
              <w:keepNext/>
              <w:keepLines/>
              <w:spacing w:after="180"/>
              <w:ind w:left="1418" w:hanging="1418"/>
              <w:outlineLvl w:val="3"/>
              <w:rPr>
                <w:rFonts w:ascii="Arial" w:eastAsia="宋体" w:hAnsi="Arial" w:cs="Times New Roman"/>
                <w:sz w:val="24"/>
                <w:szCs w:val="20"/>
                <w:lang w:val="en-GB"/>
              </w:rPr>
            </w:pPr>
            <w:bookmarkStart w:id="9" w:name="_Toc516034524"/>
            <w:r w:rsidRPr="005240B7">
              <w:rPr>
                <w:rFonts w:ascii="Arial" w:eastAsia="宋体" w:hAnsi="Arial" w:cs="Times New Roman"/>
                <w:sz w:val="24"/>
                <w:szCs w:val="20"/>
                <w:lang w:val="en-GB"/>
              </w:rPr>
              <w:t>9.2.3.2</w:t>
            </w:r>
            <w:r w:rsidRPr="005240B7">
              <w:rPr>
                <w:rFonts w:ascii="Arial" w:eastAsia="宋体" w:hAnsi="Arial" w:cs="Times New Roman"/>
                <w:sz w:val="24"/>
                <w:szCs w:val="20"/>
                <w:lang w:val="en-GB"/>
              </w:rPr>
              <w:tab/>
              <w:t>Requirements for FR2</w:t>
            </w:r>
            <w:bookmarkEnd w:id="9"/>
          </w:p>
          <w:p w:rsidR="005240B7" w:rsidRPr="005240B7" w:rsidRDefault="005240B7" w:rsidP="005240B7">
            <w:pPr>
              <w:spacing w:before="0" w:after="180"/>
              <w:rPr>
                <w:rFonts w:eastAsia="宋体" w:cs="Times New Roman"/>
                <w:szCs w:val="20"/>
                <w:lang w:val="en-GB"/>
              </w:rPr>
            </w:pPr>
            <w:r w:rsidRPr="005240B7">
              <w:rPr>
                <w:rFonts w:eastAsia="宋体" w:cs="Times New Roman"/>
                <w:szCs w:val="20"/>
                <w:lang w:val="en-GB"/>
              </w:rPr>
              <w:t>For each intra-frequency layer the UE shall be capable of monitoring at least [6] cells on a single serving carrier (PCC or PSCC or 1 SCC if PCC/PSCC is in a band different from SCC) out of all the serving carriers configured in the same band.</w:t>
            </w:r>
          </w:p>
          <w:p w:rsidR="005240B7" w:rsidRPr="005240B7" w:rsidRDefault="005240B7" w:rsidP="005240B7">
            <w:pPr>
              <w:spacing w:before="0" w:after="180"/>
              <w:rPr>
                <w:rFonts w:eastAsia="宋体" w:cs="Times New Roman"/>
                <w:szCs w:val="20"/>
                <w:lang w:val="en-GB"/>
              </w:rPr>
            </w:pPr>
            <w:r w:rsidRPr="005240B7">
              <w:rPr>
                <w:rFonts w:eastAsia="宋体" w:cs="Times New Roman"/>
                <w:szCs w:val="20"/>
                <w:lang w:val="en-GB"/>
              </w:rPr>
              <w:t xml:space="preserve">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w:t>
            </w:r>
            <w:r w:rsidRPr="005240B7">
              <w:rPr>
                <w:rFonts w:eastAsia="宋体" w:cs="Times New Roman"/>
                <w:szCs w:val="20"/>
                <w:highlight w:val="yellow"/>
                <w:lang w:val="en-GB"/>
              </w:rPr>
              <w:t xml:space="preserve">UE shall be capable of monitoring [1~ 4] SSB(s) on serving cell for each of the other serving carrier(s) in the same band. </w:t>
            </w:r>
            <w:r w:rsidRPr="005240B7">
              <w:rPr>
                <w:rFonts w:eastAsia="宋体" w:cs="v4.2.0"/>
                <w:szCs w:val="20"/>
                <w:highlight w:val="yellow"/>
                <w:lang w:val="en-GB"/>
              </w:rPr>
              <w:t>UE shall be capable of performing RSRP and RSRQ on all above-mentioned SSBs</w:t>
            </w:r>
          </w:p>
        </w:tc>
      </w:tr>
    </w:tbl>
    <w:p w:rsidR="000D4E89" w:rsidRDefault="000D4E89" w:rsidP="00074FED">
      <w:r>
        <w:t>Effectively, this means if UE is only configured with FR2 serving cells, the requirement for all CCs, including PCC, PSCC and SCC, should be scaled with Kca = 1.</w:t>
      </w:r>
    </w:p>
    <w:p w:rsidR="005240B7" w:rsidRDefault="000D4E89" w:rsidP="000D4E89">
      <w:pPr>
        <w:pStyle w:val="RAN4proposal"/>
      </w:pPr>
      <w:bookmarkStart w:id="10" w:name="_Ref517456727"/>
      <w:r>
        <w:t>If</w:t>
      </w:r>
      <w:r w:rsidRPr="000D4E89">
        <w:t xml:space="preserve"> UE is only configured with FR2 serving cells, the requirement for all CCs, including PCC, PSCC and SCC, should be scaled with Kca = 1</w:t>
      </w:r>
      <w:r>
        <w:t>.</w:t>
      </w:r>
      <w:bookmarkEnd w:id="10"/>
    </w:p>
    <w:p w:rsidR="000D4E89" w:rsidRDefault="000D4E89" w:rsidP="00E246CE">
      <w:pPr>
        <w:pStyle w:val="RAN4H2"/>
      </w:pPr>
      <w:r>
        <w:t>FR1 + FR2 case</w:t>
      </w:r>
    </w:p>
    <w:p w:rsidR="000D4E89" w:rsidRDefault="000D4E89" w:rsidP="000D4E89">
      <w:r>
        <w:t>When UE has both FR1 and FR2 serving cells, there can be multiple cases</w:t>
      </w:r>
    </w:p>
    <w:p w:rsidR="000D4E89" w:rsidRDefault="000D4E89" w:rsidP="000D4E89">
      <w:pPr>
        <w:pStyle w:val="ListParagraph"/>
        <w:numPr>
          <w:ilvl w:val="0"/>
          <w:numId w:val="41"/>
        </w:numPr>
      </w:pPr>
      <w:r>
        <w:t>PCC or PSCC in FR1, SCC in FR2 only</w:t>
      </w:r>
    </w:p>
    <w:p w:rsidR="000D4E89" w:rsidRDefault="000D4E89" w:rsidP="000D4E89">
      <w:pPr>
        <w:pStyle w:val="ListParagraph"/>
        <w:numPr>
          <w:ilvl w:val="0"/>
          <w:numId w:val="41"/>
        </w:numPr>
      </w:pPr>
      <w:r>
        <w:t xml:space="preserve">PCC or PSCC in FR1, SCC in FR1 + FR2 </w:t>
      </w:r>
    </w:p>
    <w:p w:rsidR="000D4E89" w:rsidRDefault="000D4E89" w:rsidP="000D4E89">
      <w:pPr>
        <w:pStyle w:val="ListParagraph"/>
        <w:numPr>
          <w:ilvl w:val="0"/>
          <w:numId w:val="41"/>
        </w:numPr>
      </w:pPr>
      <w:r>
        <w:t xml:space="preserve">PCC or PSCC </w:t>
      </w:r>
      <w:r w:rsidR="00256EAB">
        <w:t>i</w:t>
      </w:r>
      <w:r>
        <w:t>n FR2, SCC in FR1 only</w:t>
      </w:r>
    </w:p>
    <w:p w:rsidR="000D4E89" w:rsidRDefault="000D4E89" w:rsidP="000D4E89">
      <w:pPr>
        <w:pStyle w:val="ListParagraph"/>
        <w:numPr>
          <w:ilvl w:val="0"/>
          <w:numId w:val="41"/>
        </w:numPr>
      </w:pPr>
      <w:r>
        <w:t xml:space="preserve">PCC or PSCC </w:t>
      </w:r>
      <w:r w:rsidR="00256EAB">
        <w:t>i</w:t>
      </w:r>
      <w:r>
        <w:t xml:space="preserve">n FR2, SCC in FR1 + FR2 </w:t>
      </w:r>
    </w:p>
    <w:p w:rsidR="00256EAB" w:rsidRDefault="00256EAB" w:rsidP="000D4E89">
      <w:pPr>
        <w:pStyle w:val="ListParagraph"/>
        <w:numPr>
          <w:ilvl w:val="0"/>
          <w:numId w:val="41"/>
        </w:numPr>
      </w:pPr>
      <w:r>
        <w:t>PCC in FR1, PSCC in FR2, SCC in FR1</w:t>
      </w:r>
      <w:r w:rsidR="00A86E66">
        <w:t xml:space="preserve"> only </w:t>
      </w:r>
    </w:p>
    <w:p w:rsidR="00256EAB" w:rsidRDefault="00256EAB" w:rsidP="00256EAB">
      <w:pPr>
        <w:pStyle w:val="ListParagraph"/>
        <w:numPr>
          <w:ilvl w:val="0"/>
          <w:numId w:val="41"/>
        </w:numPr>
      </w:pPr>
      <w:r>
        <w:t>PCC in FR1, PSCC in FR2, SCC in FR2</w:t>
      </w:r>
      <w:r w:rsidR="00A86E66">
        <w:t xml:space="preserve"> only</w:t>
      </w:r>
    </w:p>
    <w:p w:rsidR="00256EAB" w:rsidRDefault="00256EAB" w:rsidP="00256EAB">
      <w:pPr>
        <w:pStyle w:val="ListParagraph"/>
        <w:numPr>
          <w:ilvl w:val="0"/>
          <w:numId w:val="41"/>
        </w:numPr>
      </w:pPr>
      <w:r>
        <w:t>PCC in FR1, PSCC in FR2, SCC in FR1 + FR2</w:t>
      </w:r>
    </w:p>
    <w:p w:rsidR="00107708" w:rsidRDefault="00107708" w:rsidP="00107708">
      <w:r>
        <w:t>The requirements will be heavily depending on UE searcher assumption. For example, in case 2),</w:t>
      </w:r>
    </w:p>
    <w:p w:rsidR="00107708" w:rsidRDefault="00107708" w:rsidP="00107708">
      <w:pPr>
        <w:pStyle w:val="ListParagraph"/>
        <w:numPr>
          <w:ilvl w:val="0"/>
          <w:numId w:val="42"/>
        </w:numPr>
      </w:pPr>
      <w:r>
        <w:lastRenderedPageBreak/>
        <w:t>If UE has two dedicated searcher for FR1 and one dedicated searcher for FR2, we would have Kca = 1 for PCC/PSCC, Kca = N_SCC for SCC in FR1 (assuming fully overlapped SMTC), and Kca = 1 for the selected SCC in FR2</w:t>
      </w:r>
    </w:p>
    <w:p w:rsidR="00A86E66" w:rsidRDefault="00107708" w:rsidP="00A86E66">
      <w:pPr>
        <w:pStyle w:val="ListParagraph"/>
        <w:numPr>
          <w:ilvl w:val="0"/>
          <w:numId w:val="42"/>
        </w:numPr>
      </w:pPr>
      <w:r>
        <w:t>If UE has two shared searchers for FR1 + FR2, we would have Kca = 1 for PCC/PSCC, Kca = N_SCC for all SCCs in FR1 and the selected SCC in FR2.</w:t>
      </w:r>
    </w:p>
    <w:p w:rsidR="00A86E66" w:rsidRDefault="00A86E66" w:rsidP="00A86E66">
      <w:r>
        <w:t xml:space="preserve">The second option is not desirable, since if there are large number of SCCs in FR1, the delay for the only CC in FR2 where UE performs cell search will be long. </w:t>
      </w:r>
    </w:p>
    <w:p w:rsidR="00256EAB" w:rsidRDefault="00107708" w:rsidP="00256EAB">
      <w:r>
        <w:t xml:space="preserve">Case 5) – 7) are for NR-NR DC which is agreed to be included </w:t>
      </w:r>
      <w:r w:rsidR="00A86E66">
        <w:t>to the in the scope of Rel-15. Clearly, if UE only has two searchers shared for FR1 and FR2, UE will not be able to measure any SCC.</w:t>
      </w:r>
    </w:p>
    <w:p w:rsidR="00A86E66" w:rsidRDefault="00A86E66" w:rsidP="00256EAB">
      <w:r>
        <w:t xml:space="preserve">In our view, since in Rel-15 UE is only required to search on one CC in FR2, it is reasonable to assume there is only one searcher dedicated for FR2. Considering there are more than one CC to be searched in FR1, it is reasonable to assume there are at least two searchers </w:t>
      </w:r>
      <w:r w:rsidRPr="00A86E66">
        <w:t xml:space="preserve">dedicated </w:t>
      </w:r>
      <w:r>
        <w:t>for FR1. With such an assumption, we can define reasonable requirements for all cases listed above.</w:t>
      </w:r>
    </w:p>
    <w:p w:rsidR="00A86E66" w:rsidRDefault="00F64F6E" w:rsidP="00F64F6E">
      <w:pPr>
        <w:pStyle w:val="RAN4proposal"/>
      </w:pPr>
      <w:bookmarkStart w:id="11" w:name="_Ref517456730"/>
      <w:r>
        <w:t>The requirements for FR1 + FR2 case are defined assuming UE has two dedicated searchers for FR1 and one dedicated searcher for FR2.</w:t>
      </w:r>
      <w:bookmarkEnd w:id="11"/>
      <w:r>
        <w:t xml:space="preserve"> </w:t>
      </w:r>
    </w:p>
    <w:p w:rsidR="00F64F6E" w:rsidRPr="00F64F6E" w:rsidRDefault="00F64F6E" w:rsidP="00F64F6E">
      <w:pPr>
        <w:pStyle w:val="RAN4proposal"/>
      </w:pPr>
      <w:bookmarkStart w:id="12" w:name="_Ref517456731"/>
      <w:r>
        <w:t>If UE is configured with both FR1 and FR2 serving cells, requirements for PCC, PSCC and the selected SCC in FR2 should be scaled with Kca = 1, Kca for SCCs in FR1 should be derived following Proposal 1.</w:t>
      </w:r>
      <w:bookmarkEnd w:id="12"/>
      <w:r>
        <w:t xml:space="preserve"> </w:t>
      </w:r>
    </w:p>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410C1C" w:rsidRPr="00410C1C">
        <w:rPr>
          <w:lang w:val="en-GB"/>
        </w:rPr>
        <w:t>on how to define intra-frequency measurement requirements for CA and for the case of fully overlapped SMTC and MG</w:t>
      </w:r>
      <w:r w:rsidRPr="00B8606D">
        <w:rPr>
          <w:lang w:val="en-GB"/>
        </w:rPr>
        <w:t>.</w:t>
      </w:r>
    </w:p>
    <w:p w:rsidR="00410C1C" w:rsidRPr="00410C1C" w:rsidRDefault="00410C1C" w:rsidP="004F3D3B">
      <w:pPr>
        <w:rPr>
          <w:b/>
          <w:lang w:val="en-GB"/>
        </w:rPr>
      </w:pPr>
      <w:r w:rsidRPr="00410C1C">
        <w:rPr>
          <w:b/>
          <w:lang w:val="en-GB"/>
        </w:rPr>
        <w:fldChar w:fldCharType="begin"/>
      </w:r>
      <w:r w:rsidRPr="00410C1C">
        <w:rPr>
          <w:b/>
          <w:lang w:val="en-GB"/>
        </w:rPr>
        <w:instrText xml:space="preserve"> REF _Ref517456726 \r \h </w:instrText>
      </w:r>
      <w:r>
        <w:rPr>
          <w:b/>
          <w:lang w:val="en-GB"/>
        </w:rPr>
        <w:instrText xml:space="preserve"> \* MERGEFORMAT </w:instrText>
      </w:r>
      <w:r w:rsidRPr="00410C1C">
        <w:rPr>
          <w:b/>
          <w:lang w:val="en-GB"/>
        </w:rPr>
      </w:r>
      <w:r w:rsidRPr="00410C1C">
        <w:rPr>
          <w:b/>
          <w:lang w:val="en-GB"/>
        </w:rPr>
        <w:fldChar w:fldCharType="separate"/>
      </w:r>
      <w:r w:rsidRPr="00410C1C">
        <w:rPr>
          <w:b/>
          <w:lang w:val="en-GB"/>
        </w:rPr>
        <w:t>Proposal 1:</w:t>
      </w:r>
      <w:r w:rsidRPr="00410C1C">
        <w:rPr>
          <w:b/>
          <w:lang w:val="en-GB"/>
        </w:rPr>
        <w:fldChar w:fldCharType="end"/>
      </w:r>
      <w:r w:rsidRPr="00410C1C">
        <w:rPr>
          <w:b/>
          <w:lang w:val="en-GB"/>
        </w:rPr>
        <w:t xml:space="preserve"> </w:t>
      </w:r>
      <w:r w:rsidRPr="00410C1C">
        <w:rPr>
          <w:b/>
          <w:lang w:val="en-GB"/>
        </w:rPr>
        <w:fldChar w:fldCharType="begin"/>
      </w:r>
      <w:r w:rsidRPr="00410C1C">
        <w:rPr>
          <w:b/>
          <w:lang w:val="en-GB"/>
        </w:rPr>
        <w:instrText xml:space="preserve"> REF _Ref517456726 \h </w:instrText>
      </w:r>
      <w:r>
        <w:rPr>
          <w:b/>
          <w:lang w:val="en-GB"/>
        </w:rPr>
        <w:instrText xml:space="preserve"> \* MERGEFORMAT </w:instrText>
      </w:r>
      <w:r w:rsidRPr="00410C1C">
        <w:rPr>
          <w:b/>
          <w:lang w:val="en-GB"/>
        </w:rPr>
      </w:r>
      <w:r w:rsidRPr="00410C1C">
        <w:rPr>
          <w:b/>
          <w:lang w:val="en-GB"/>
        </w:rPr>
        <w:fldChar w:fldCharType="separate"/>
      </w:r>
      <w:r w:rsidRPr="00410C1C">
        <w:rPr>
          <w:b/>
        </w:rPr>
        <w:t>The scaling factor Kca for intra-frequency measurement requirements for NR SCC (without MG) should be defined in the same way as for gap based measurement requirements, except that time granularity of the algorithm is the smallest SMTC period among a group of SCCs with overlapping SMTC.</w:t>
      </w:r>
      <w:r w:rsidRPr="00410C1C">
        <w:rPr>
          <w:b/>
          <w:lang w:val="en-GB"/>
        </w:rPr>
        <w:fldChar w:fldCharType="end"/>
      </w:r>
    </w:p>
    <w:p w:rsidR="00410C1C" w:rsidRPr="00410C1C" w:rsidRDefault="00410C1C" w:rsidP="004F3D3B">
      <w:pPr>
        <w:rPr>
          <w:b/>
          <w:lang w:val="en-GB"/>
        </w:rPr>
      </w:pPr>
      <w:r w:rsidRPr="00410C1C">
        <w:rPr>
          <w:b/>
          <w:lang w:val="en-GB"/>
        </w:rPr>
        <w:fldChar w:fldCharType="begin"/>
      </w:r>
      <w:r w:rsidRPr="00410C1C">
        <w:rPr>
          <w:b/>
          <w:lang w:val="en-GB"/>
        </w:rPr>
        <w:instrText xml:space="preserve"> REF _Ref517456727 \r \h </w:instrText>
      </w:r>
      <w:r>
        <w:rPr>
          <w:b/>
          <w:lang w:val="en-GB"/>
        </w:rPr>
        <w:instrText xml:space="preserve"> \* MERGEFORMAT </w:instrText>
      </w:r>
      <w:r w:rsidRPr="00410C1C">
        <w:rPr>
          <w:b/>
          <w:lang w:val="en-GB"/>
        </w:rPr>
      </w:r>
      <w:r w:rsidRPr="00410C1C">
        <w:rPr>
          <w:b/>
          <w:lang w:val="en-GB"/>
        </w:rPr>
        <w:fldChar w:fldCharType="separate"/>
      </w:r>
      <w:r w:rsidRPr="00410C1C">
        <w:rPr>
          <w:b/>
          <w:lang w:val="en-GB"/>
        </w:rPr>
        <w:t>Proposal 2:</w:t>
      </w:r>
      <w:r w:rsidRPr="00410C1C">
        <w:rPr>
          <w:b/>
          <w:lang w:val="en-GB"/>
        </w:rPr>
        <w:fldChar w:fldCharType="end"/>
      </w:r>
      <w:r w:rsidRPr="00410C1C">
        <w:rPr>
          <w:b/>
          <w:lang w:val="en-GB"/>
        </w:rPr>
        <w:t xml:space="preserve"> </w:t>
      </w:r>
      <w:r w:rsidRPr="00410C1C">
        <w:rPr>
          <w:b/>
          <w:lang w:val="en-GB"/>
        </w:rPr>
        <w:fldChar w:fldCharType="begin"/>
      </w:r>
      <w:r w:rsidRPr="00410C1C">
        <w:rPr>
          <w:b/>
          <w:lang w:val="en-GB"/>
        </w:rPr>
        <w:instrText xml:space="preserve"> REF _Ref517456727 \h </w:instrText>
      </w:r>
      <w:r>
        <w:rPr>
          <w:b/>
          <w:lang w:val="en-GB"/>
        </w:rPr>
        <w:instrText xml:space="preserve"> \* MERGEFORMAT </w:instrText>
      </w:r>
      <w:r w:rsidRPr="00410C1C">
        <w:rPr>
          <w:b/>
          <w:lang w:val="en-GB"/>
        </w:rPr>
      </w:r>
      <w:r w:rsidRPr="00410C1C">
        <w:rPr>
          <w:b/>
          <w:lang w:val="en-GB"/>
        </w:rPr>
        <w:fldChar w:fldCharType="separate"/>
      </w:r>
      <w:r w:rsidRPr="00410C1C">
        <w:rPr>
          <w:b/>
        </w:rPr>
        <w:t>If UE is only configured with FR2 serving cells, the requirement for all CCs, including PCC, PSCC and SCC, should be scaled with Kca = 1.</w:t>
      </w:r>
      <w:r w:rsidRPr="00410C1C">
        <w:rPr>
          <w:b/>
          <w:lang w:val="en-GB"/>
        </w:rPr>
        <w:fldChar w:fldCharType="end"/>
      </w:r>
    </w:p>
    <w:p w:rsidR="00410C1C" w:rsidRPr="00410C1C" w:rsidRDefault="00410C1C" w:rsidP="004F3D3B">
      <w:pPr>
        <w:rPr>
          <w:b/>
          <w:lang w:val="en-GB"/>
        </w:rPr>
      </w:pPr>
      <w:r w:rsidRPr="00410C1C">
        <w:rPr>
          <w:b/>
          <w:lang w:val="en-GB"/>
        </w:rPr>
        <w:fldChar w:fldCharType="begin"/>
      </w:r>
      <w:r w:rsidRPr="00410C1C">
        <w:rPr>
          <w:b/>
          <w:lang w:val="en-GB"/>
        </w:rPr>
        <w:instrText xml:space="preserve"> REF _Ref517456730 \r \h </w:instrText>
      </w:r>
      <w:r>
        <w:rPr>
          <w:b/>
          <w:lang w:val="en-GB"/>
        </w:rPr>
        <w:instrText xml:space="preserve"> \* MERGEFORMAT </w:instrText>
      </w:r>
      <w:r w:rsidRPr="00410C1C">
        <w:rPr>
          <w:b/>
          <w:lang w:val="en-GB"/>
        </w:rPr>
      </w:r>
      <w:r w:rsidRPr="00410C1C">
        <w:rPr>
          <w:b/>
          <w:lang w:val="en-GB"/>
        </w:rPr>
        <w:fldChar w:fldCharType="separate"/>
      </w:r>
      <w:r w:rsidRPr="00410C1C">
        <w:rPr>
          <w:b/>
          <w:lang w:val="en-GB"/>
        </w:rPr>
        <w:t>Proposal 3:</w:t>
      </w:r>
      <w:r w:rsidRPr="00410C1C">
        <w:rPr>
          <w:b/>
          <w:lang w:val="en-GB"/>
        </w:rPr>
        <w:fldChar w:fldCharType="end"/>
      </w:r>
      <w:r w:rsidRPr="00410C1C">
        <w:rPr>
          <w:b/>
          <w:lang w:val="en-GB"/>
        </w:rPr>
        <w:t xml:space="preserve"> </w:t>
      </w:r>
      <w:r w:rsidRPr="00410C1C">
        <w:rPr>
          <w:b/>
          <w:lang w:val="en-GB"/>
        </w:rPr>
        <w:fldChar w:fldCharType="begin"/>
      </w:r>
      <w:r w:rsidRPr="00410C1C">
        <w:rPr>
          <w:b/>
          <w:lang w:val="en-GB"/>
        </w:rPr>
        <w:instrText xml:space="preserve"> REF _Ref517456730 \h </w:instrText>
      </w:r>
      <w:r>
        <w:rPr>
          <w:b/>
          <w:lang w:val="en-GB"/>
        </w:rPr>
        <w:instrText xml:space="preserve"> \* MERGEFORMAT </w:instrText>
      </w:r>
      <w:r w:rsidRPr="00410C1C">
        <w:rPr>
          <w:b/>
          <w:lang w:val="en-GB"/>
        </w:rPr>
      </w:r>
      <w:r w:rsidRPr="00410C1C">
        <w:rPr>
          <w:b/>
          <w:lang w:val="en-GB"/>
        </w:rPr>
        <w:fldChar w:fldCharType="separate"/>
      </w:r>
      <w:r w:rsidRPr="00410C1C">
        <w:rPr>
          <w:b/>
        </w:rPr>
        <w:t>The requirements for FR1 + FR2 case are defined assuming UE has two dedicated searchers for FR1 and one dedicated searcher for FR2.</w:t>
      </w:r>
      <w:r w:rsidRPr="00410C1C">
        <w:rPr>
          <w:b/>
          <w:lang w:val="en-GB"/>
        </w:rPr>
        <w:fldChar w:fldCharType="end"/>
      </w:r>
    </w:p>
    <w:p w:rsidR="00410C1C" w:rsidRPr="00410C1C" w:rsidRDefault="00410C1C" w:rsidP="004F3D3B">
      <w:pPr>
        <w:rPr>
          <w:b/>
          <w:lang w:val="en-GB"/>
        </w:rPr>
      </w:pPr>
      <w:r w:rsidRPr="00410C1C">
        <w:rPr>
          <w:b/>
          <w:lang w:val="en-GB"/>
        </w:rPr>
        <w:fldChar w:fldCharType="begin"/>
      </w:r>
      <w:r w:rsidRPr="00410C1C">
        <w:rPr>
          <w:b/>
          <w:lang w:val="en-GB"/>
        </w:rPr>
        <w:instrText xml:space="preserve"> REF _Ref517456731 \r \h </w:instrText>
      </w:r>
      <w:r>
        <w:rPr>
          <w:b/>
          <w:lang w:val="en-GB"/>
        </w:rPr>
        <w:instrText xml:space="preserve"> \* MERGEFORMAT </w:instrText>
      </w:r>
      <w:r w:rsidRPr="00410C1C">
        <w:rPr>
          <w:b/>
          <w:lang w:val="en-GB"/>
        </w:rPr>
      </w:r>
      <w:r w:rsidRPr="00410C1C">
        <w:rPr>
          <w:b/>
          <w:lang w:val="en-GB"/>
        </w:rPr>
        <w:fldChar w:fldCharType="separate"/>
      </w:r>
      <w:r w:rsidRPr="00410C1C">
        <w:rPr>
          <w:b/>
          <w:lang w:val="en-GB"/>
        </w:rPr>
        <w:t>Proposal 4:</w:t>
      </w:r>
      <w:r w:rsidRPr="00410C1C">
        <w:rPr>
          <w:b/>
          <w:lang w:val="en-GB"/>
        </w:rPr>
        <w:fldChar w:fldCharType="end"/>
      </w:r>
      <w:r w:rsidRPr="00410C1C">
        <w:rPr>
          <w:b/>
          <w:lang w:val="en-GB"/>
        </w:rPr>
        <w:t xml:space="preserve"> </w:t>
      </w:r>
      <w:r w:rsidRPr="00410C1C">
        <w:rPr>
          <w:b/>
          <w:lang w:val="en-GB"/>
        </w:rPr>
        <w:fldChar w:fldCharType="begin"/>
      </w:r>
      <w:r w:rsidRPr="00410C1C">
        <w:rPr>
          <w:b/>
          <w:lang w:val="en-GB"/>
        </w:rPr>
        <w:instrText xml:space="preserve"> REF _Ref517456731 \h </w:instrText>
      </w:r>
      <w:r>
        <w:rPr>
          <w:b/>
          <w:lang w:val="en-GB"/>
        </w:rPr>
        <w:instrText xml:space="preserve"> \* MERGEFORMAT </w:instrText>
      </w:r>
      <w:r w:rsidRPr="00410C1C">
        <w:rPr>
          <w:b/>
          <w:lang w:val="en-GB"/>
        </w:rPr>
      </w:r>
      <w:r w:rsidRPr="00410C1C">
        <w:rPr>
          <w:b/>
          <w:lang w:val="en-GB"/>
        </w:rPr>
        <w:fldChar w:fldCharType="separate"/>
      </w:r>
      <w:r w:rsidRPr="00410C1C">
        <w:rPr>
          <w:b/>
        </w:rPr>
        <w:t>If UE is configured with both FR1 and FR2 serving cells, requirements for PCC, PSCC and the selected SCC in FR2 should be scaled with Kca = 1, Kca for SCCs in FR1 should be derived following Proposal 1.</w:t>
      </w:r>
      <w:r w:rsidRPr="00410C1C">
        <w:rPr>
          <w:b/>
          <w:lang w:val="en-GB"/>
        </w:rPr>
        <w:fldChar w:fldCharType="end"/>
      </w:r>
    </w:p>
    <w:p w:rsidR="003B659E" w:rsidRPr="0095295C" w:rsidRDefault="003B659E" w:rsidP="0008612A">
      <w:pPr>
        <w:pStyle w:val="RAN4H1"/>
      </w:pPr>
      <w:r w:rsidRPr="0095295C">
        <w:t>References</w:t>
      </w:r>
    </w:p>
    <w:p w:rsidR="00FC7B92" w:rsidRPr="00FC7B92" w:rsidRDefault="00FC7B92" w:rsidP="00E52560">
      <w:pPr>
        <w:pStyle w:val="ListParagraph"/>
        <w:numPr>
          <w:ilvl w:val="0"/>
          <w:numId w:val="1"/>
        </w:numPr>
        <w:rPr>
          <w:szCs w:val="20"/>
        </w:rPr>
      </w:pPr>
      <w:bookmarkStart w:id="13" w:name="_Ref517446342"/>
      <w:bookmarkStart w:id="14" w:name="_Ref431017336"/>
      <w:bookmarkStart w:id="15" w:name="_Ref513196612"/>
      <w:bookmarkStart w:id="16" w:name="_Ref513710934"/>
      <w:bookmarkStart w:id="17" w:name="_Ref513723949"/>
      <w:bookmarkStart w:id="18" w:name="_Ref513728762"/>
      <w:r w:rsidRPr="00FC7B92">
        <w:rPr>
          <w:szCs w:val="20"/>
        </w:rPr>
        <w:t>R4-180</w:t>
      </w:r>
      <w:r w:rsidR="00E52560">
        <w:rPr>
          <w:szCs w:val="20"/>
        </w:rPr>
        <w:t>8526</w:t>
      </w:r>
      <w:r w:rsidRPr="00FC7B92">
        <w:rPr>
          <w:szCs w:val="20"/>
        </w:rPr>
        <w:t xml:space="preserve">, </w:t>
      </w:r>
      <w:r w:rsidR="00E52560" w:rsidRPr="00E52560">
        <w:rPr>
          <w:szCs w:val="20"/>
        </w:rPr>
        <w:t>Measurement requirements for multiple SCells in section 9.2</w:t>
      </w:r>
      <w:r w:rsidRPr="00FC7B92">
        <w:rPr>
          <w:szCs w:val="20"/>
        </w:rPr>
        <w:t xml:space="preserve">, </w:t>
      </w:r>
      <w:r w:rsidR="00E52560">
        <w:rPr>
          <w:szCs w:val="20"/>
        </w:rPr>
        <w:t>Ericsson</w:t>
      </w:r>
      <w:bookmarkEnd w:id="13"/>
    </w:p>
    <w:p w:rsidR="00E52560" w:rsidRPr="00E52560" w:rsidRDefault="00E52560" w:rsidP="00E52560">
      <w:pPr>
        <w:numPr>
          <w:ilvl w:val="0"/>
          <w:numId w:val="1"/>
        </w:numPr>
        <w:overflowPunct w:val="0"/>
        <w:autoSpaceDE w:val="0"/>
        <w:autoSpaceDN w:val="0"/>
        <w:adjustRightInd w:val="0"/>
        <w:ind w:right="-22"/>
        <w:jc w:val="both"/>
        <w:textAlignment w:val="baseline"/>
        <w:rPr>
          <w:szCs w:val="20"/>
        </w:rPr>
      </w:pPr>
      <w:bookmarkStart w:id="19" w:name="_Ref513728799"/>
      <w:bookmarkEnd w:id="14"/>
      <w:bookmarkEnd w:id="15"/>
      <w:bookmarkEnd w:id="16"/>
      <w:bookmarkEnd w:id="17"/>
      <w:bookmarkEnd w:id="18"/>
      <w:r w:rsidRPr="00126990">
        <w:rPr>
          <w:rFonts w:eastAsia="Times New Roman" w:cs="Times New Roman"/>
          <w:szCs w:val="20"/>
          <w:lang w:val="en-GB"/>
        </w:rPr>
        <w:t>R4-180</w:t>
      </w:r>
      <w:r>
        <w:rPr>
          <w:rFonts w:eastAsia="Times New Roman" w:cs="Times New Roman"/>
          <w:szCs w:val="20"/>
          <w:lang w:val="en-GB"/>
        </w:rPr>
        <w:t>5521</w:t>
      </w:r>
      <w:r w:rsidRPr="00126990">
        <w:rPr>
          <w:rFonts w:eastAsia="Times New Roman" w:cs="Times New Roman"/>
          <w:szCs w:val="20"/>
          <w:lang w:val="en-GB"/>
        </w:rPr>
        <w:t xml:space="preserve">, </w:t>
      </w:r>
      <w:r w:rsidRPr="00E6410D">
        <w:rPr>
          <w:rFonts w:eastAsia="Times New Roman"/>
          <w:bCs/>
          <w:szCs w:val="20"/>
        </w:rPr>
        <w:t>Wayforward on requirement of intra-frequency measurement without gap</w:t>
      </w:r>
      <w:r w:rsidRPr="00B74C1F">
        <w:rPr>
          <w:rFonts w:eastAsia="Times New Roman"/>
          <w:bCs/>
          <w:szCs w:val="20"/>
        </w:rPr>
        <w:t xml:space="preserve">, </w:t>
      </w:r>
      <w:r w:rsidRPr="008A23C5">
        <w:rPr>
          <w:rFonts w:eastAsia="Times New Roman"/>
          <w:bCs/>
          <w:szCs w:val="20"/>
        </w:rPr>
        <w:t>Mediatek, Huawei, HiSilicon</w:t>
      </w:r>
      <w:bookmarkEnd w:id="19"/>
    </w:p>
    <w:p w:rsidR="00E20ED2" w:rsidRPr="00E52560" w:rsidRDefault="00E20ED2" w:rsidP="00E52560">
      <w:pPr>
        <w:overflowPunct w:val="0"/>
        <w:autoSpaceDE w:val="0"/>
        <w:autoSpaceDN w:val="0"/>
        <w:adjustRightInd w:val="0"/>
        <w:ind w:left="360" w:right="-22"/>
        <w:jc w:val="both"/>
        <w:textAlignment w:val="baseline"/>
        <w:rPr>
          <w:szCs w:val="20"/>
        </w:rPr>
      </w:pPr>
    </w:p>
    <w:sectPr w:rsidR="00E20ED2" w:rsidRPr="00E5256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7E8A" w:rsidRDefault="00DD7E8A" w:rsidP="00001C9B">
      <w:pPr>
        <w:spacing w:after="0" w:line="240" w:lineRule="auto"/>
      </w:pPr>
      <w:r>
        <w:separator/>
      </w:r>
    </w:p>
  </w:endnote>
  <w:endnote w:type="continuationSeparator" w:id="0">
    <w:p w:rsidR="00DD7E8A" w:rsidRDefault="00DD7E8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7E8A" w:rsidRDefault="00DD7E8A" w:rsidP="00001C9B">
      <w:pPr>
        <w:spacing w:after="0" w:line="240" w:lineRule="auto"/>
      </w:pPr>
      <w:r>
        <w:separator/>
      </w:r>
    </w:p>
  </w:footnote>
  <w:footnote w:type="continuationSeparator" w:id="0">
    <w:p w:rsidR="00DD7E8A" w:rsidRDefault="00DD7E8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21C0"/>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542E8"/>
    <w:multiLevelType w:val="hybridMultilevel"/>
    <w:tmpl w:val="0FBC2122"/>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97AA2"/>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C120E"/>
    <w:multiLevelType w:val="hybridMultilevel"/>
    <w:tmpl w:val="2918C6A2"/>
    <w:lvl w:ilvl="0" w:tplc="04090001">
      <w:start w:val="1"/>
      <w:numFmt w:val="bullet"/>
      <w:lvlText w:val=""/>
      <w:lvlJc w:val="left"/>
      <w:pPr>
        <w:ind w:left="704" w:hanging="420"/>
      </w:pPr>
      <w:rPr>
        <w:rFonts w:ascii="Symbol" w:hAnsi="Symbol" w:hint="default"/>
      </w:rPr>
    </w:lvl>
    <w:lvl w:ilvl="1" w:tplc="9C1A3C9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CD67FE"/>
    <w:multiLevelType w:val="hybridMultilevel"/>
    <w:tmpl w:val="A0CAFB9C"/>
    <w:lvl w:ilvl="0" w:tplc="33686614">
      <w:start w:val="1"/>
      <w:numFmt w:val="bullet"/>
      <w:lvlText w:val="•"/>
      <w:lvlJc w:val="left"/>
      <w:pPr>
        <w:tabs>
          <w:tab w:val="num" w:pos="720"/>
        </w:tabs>
        <w:ind w:left="720" w:hanging="360"/>
      </w:pPr>
      <w:rPr>
        <w:rFonts w:ascii="Arial" w:hAnsi="Arial" w:hint="default"/>
      </w:rPr>
    </w:lvl>
    <w:lvl w:ilvl="1" w:tplc="76483A16">
      <w:start w:val="1"/>
      <w:numFmt w:val="bullet"/>
      <w:lvlText w:val="•"/>
      <w:lvlJc w:val="left"/>
      <w:pPr>
        <w:tabs>
          <w:tab w:val="num" w:pos="1440"/>
        </w:tabs>
        <w:ind w:left="1440" w:hanging="360"/>
      </w:pPr>
      <w:rPr>
        <w:rFonts w:ascii="Arial" w:hAnsi="Arial" w:hint="default"/>
      </w:rPr>
    </w:lvl>
    <w:lvl w:ilvl="2" w:tplc="AFC21FFA">
      <w:numFmt w:val="bullet"/>
      <w:lvlText w:val="•"/>
      <w:lvlJc w:val="left"/>
      <w:pPr>
        <w:tabs>
          <w:tab w:val="num" w:pos="2160"/>
        </w:tabs>
        <w:ind w:left="2160" w:hanging="360"/>
      </w:pPr>
      <w:rPr>
        <w:rFonts w:ascii="Arial" w:hAnsi="Arial" w:hint="default"/>
      </w:rPr>
    </w:lvl>
    <w:lvl w:ilvl="3" w:tplc="FF3E7E16">
      <w:numFmt w:val="bullet"/>
      <w:lvlText w:val="•"/>
      <w:lvlJc w:val="left"/>
      <w:pPr>
        <w:tabs>
          <w:tab w:val="num" w:pos="2880"/>
        </w:tabs>
        <w:ind w:left="2880" w:hanging="360"/>
      </w:pPr>
      <w:rPr>
        <w:rFonts w:ascii="Arial" w:hAnsi="Arial" w:hint="default"/>
      </w:rPr>
    </w:lvl>
    <w:lvl w:ilvl="4" w:tplc="7072542A" w:tentative="1">
      <w:start w:val="1"/>
      <w:numFmt w:val="bullet"/>
      <w:lvlText w:val="•"/>
      <w:lvlJc w:val="left"/>
      <w:pPr>
        <w:tabs>
          <w:tab w:val="num" w:pos="3600"/>
        </w:tabs>
        <w:ind w:left="3600" w:hanging="360"/>
      </w:pPr>
      <w:rPr>
        <w:rFonts w:ascii="Arial" w:hAnsi="Arial" w:hint="default"/>
      </w:rPr>
    </w:lvl>
    <w:lvl w:ilvl="5" w:tplc="59F69F60" w:tentative="1">
      <w:start w:val="1"/>
      <w:numFmt w:val="bullet"/>
      <w:lvlText w:val="•"/>
      <w:lvlJc w:val="left"/>
      <w:pPr>
        <w:tabs>
          <w:tab w:val="num" w:pos="4320"/>
        </w:tabs>
        <w:ind w:left="4320" w:hanging="360"/>
      </w:pPr>
      <w:rPr>
        <w:rFonts w:ascii="Arial" w:hAnsi="Arial" w:hint="default"/>
      </w:rPr>
    </w:lvl>
    <w:lvl w:ilvl="6" w:tplc="D4C05DE4" w:tentative="1">
      <w:start w:val="1"/>
      <w:numFmt w:val="bullet"/>
      <w:lvlText w:val="•"/>
      <w:lvlJc w:val="left"/>
      <w:pPr>
        <w:tabs>
          <w:tab w:val="num" w:pos="5040"/>
        </w:tabs>
        <w:ind w:left="5040" w:hanging="360"/>
      </w:pPr>
      <w:rPr>
        <w:rFonts w:ascii="Arial" w:hAnsi="Arial" w:hint="default"/>
      </w:rPr>
    </w:lvl>
    <w:lvl w:ilvl="7" w:tplc="7D3867D4" w:tentative="1">
      <w:start w:val="1"/>
      <w:numFmt w:val="bullet"/>
      <w:lvlText w:val="•"/>
      <w:lvlJc w:val="left"/>
      <w:pPr>
        <w:tabs>
          <w:tab w:val="num" w:pos="5760"/>
        </w:tabs>
        <w:ind w:left="5760" w:hanging="360"/>
      </w:pPr>
      <w:rPr>
        <w:rFonts w:ascii="Arial" w:hAnsi="Arial" w:hint="default"/>
      </w:rPr>
    </w:lvl>
    <w:lvl w:ilvl="8" w:tplc="B440B1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5369D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A718A0"/>
    <w:multiLevelType w:val="hybridMultilevel"/>
    <w:tmpl w:val="F412DB3C"/>
    <w:lvl w:ilvl="0" w:tplc="3716D262">
      <w:start w:val="1"/>
      <w:numFmt w:val="bullet"/>
      <w:lvlText w:val="•"/>
      <w:lvlJc w:val="left"/>
      <w:pPr>
        <w:tabs>
          <w:tab w:val="num" w:pos="720"/>
        </w:tabs>
        <w:ind w:left="720" w:hanging="360"/>
      </w:pPr>
      <w:rPr>
        <w:rFonts w:ascii="Arial" w:hAnsi="Arial" w:hint="default"/>
      </w:rPr>
    </w:lvl>
    <w:lvl w:ilvl="1" w:tplc="8B28F5F6">
      <w:start w:val="1"/>
      <w:numFmt w:val="bullet"/>
      <w:lvlText w:val="•"/>
      <w:lvlJc w:val="left"/>
      <w:pPr>
        <w:tabs>
          <w:tab w:val="num" w:pos="1440"/>
        </w:tabs>
        <w:ind w:left="1440" w:hanging="360"/>
      </w:pPr>
      <w:rPr>
        <w:rFonts w:ascii="Arial" w:hAnsi="Arial" w:hint="default"/>
      </w:rPr>
    </w:lvl>
    <w:lvl w:ilvl="2" w:tplc="73F26882">
      <w:numFmt w:val="bullet"/>
      <w:lvlText w:val="•"/>
      <w:lvlJc w:val="left"/>
      <w:pPr>
        <w:tabs>
          <w:tab w:val="num" w:pos="2160"/>
        </w:tabs>
        <w:ind w:left="2160" w:hanging="360"/>
      </w:pPr>
      <w:rPr>
        <w:rFonts w:ascii="Arial" w:hAnsi="Arial" w:hint="default"/>
      </w:rPr>
    </w:lvl>
    <w:lvl w:ilvl="3" w:tplc="AFD872C2">
      <w:start w:val="1"/>
      <w:numFmt w:val="bullet"/>
      <w:lvlText w:val="•"/>
      <w:lvlJc w:val="left"/>
      <w:pPr>
        <w:tabs>
          <w:tab w:val="num" w:pos="2880"/>
        </w:tabs>
        <w:ind w:left="2880" w:hanging="360"/>
      </w:pPr>
      <w:rPr>
        <w:rFonts w:ascii="Arial" w:hAnsi="Arial" w:hint="default"/>
      </w:rPr>
    </w:lvl>
    <w:lvl w:ilvl="4" w:tplc="0338B6CC" w:tentative="1">
      <w:start w:val="1"/>
      <w:numFmt w:val="bullet"/>
      <w:lvlText w:val="•"/>
      <w:lvlJc w:val="left"/>
      <w:pPr>
        <w:tabs>
          <w:tab w:val="num" w:pos="3600"/>
        </w:tabs>
        <w:ind w:left="3600" w:hanging="360"/>
      </w:pPr>
      <w:rPr>
        <w:rFonts w:ascii="Arial" w:hAnsi="Arial" w:hint="default"/>
      </w:rPr>
    </w:lvl>
    <w:lvl w:ilvl="5" w:tplc="6450AB2A" w:tentative="1">
      <w:start w:val="1"/>
      <w:numFmt w:val="bullet"/>
      <w:lvlText w:val="•"/>
      <w:lvlJc w:val="left"/>
      <w:pPr>
        <w:tabs>
          <w:tab w:val="num" w:pos="4320"/>
        </w:tabs>
        <w:ind w:left="4320" w:hanging="360"/>
      </w:pPr>
      <w:rPr>
        <w:rFonts w:ascii="Arial" w:hAnsi="Arial" w:hint="default"/>
      </w:rPr>
    </w:lvl>
    <w:lvl w:ilvl="6" w:tplc="FB0E0922" w:tentative="1">
      <w:start w:val="1"/>
      <w:numFmt w:val="bullet"/>
      <w:lvlText w:val="•"/>
      <w:lvlJc w:val="left"/>
      <w:pPr>
        <w:tabs>
          <w:tab w:val="num" w:pos="5040"/>
        </w:tabs>
        <w:ind w:left="5040" w:hanging="360"/>
      </w:pPr>
      <w:rPr>
        <w:rFonts w:ascii="Arial" w:hAnsi="Arial" w:hint="default"/>
      </w:rPr>
    </w:lvl>
    <w:lvl w:ilvl="7" w:tplc="9F8AEB72" w:tentative="1">
      <w:start w:val="1"/>
      <w:numFmt w:val="bullet"/>
      <w:lvlText w:val="•"/>
      <w:lvlJc w:val="left"/>
      <w:pPr>
        <w:tabs>
          <w:tab w:val="num" w:pos="5760"/>
        </w:tabs>
        <w:ind w:left="5760" w:hanging="360"/>
      </w:pPr>
      <w:rPr>
        <w:rFonts w:ascii="Arial" w:hAnsi="Arial" w:hint="default"/>
      </w:rPr>
    </w:lvl>
    <w:lvl w:ilvl="8" w:tplc="1ACC64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D24A8E"/>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9A81F80"/>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E427EA"/>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CD2971"/>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A0E20"/>
    <w:multiLevelType w:val="hybridMultilevel"/>
    <w:tmpl w:val="23303774"/>
    <w:lvl w:ilvl="0" w:tplc="E76CE1B6">
      <w:start w:val="1"/>
      <w:numFmt w:val="bullet"/>
      <w:lvlText w:val="•"/>
      <w:lvlJc w:val="left"/>
      <w:pPr>
        <w:tabs>
          <w:tab w:val="num" w:pos="360"/>
        </w:tabs>
        <w:ind w:left="360" w:hanging="360"/>
      </w:pPr>
      <w:rPr>
        <w:rFonts w:ascii="Arial" w:hAnsi="Arial" w:hint="default"/>
      </w:rPr>
    </w:lvl>
    <w:lvl w:ilvl="1" w:tplc="9892B0C2">
      <w:start w:val="1"/>
      <w:numFmt w:val="bullet"/>
      <w:lvlText w:val="•"/>
      <w:lvlJc w:val="left"/>
      <w:pPr>
        <w:tabs>
          <w:tab w:val="num" w:pos="1080"/>
        </w:tabs>
        <w:ind w:left="1080" w:hanging="360"/>
      </w:pPr>
      <w:rPr>
        <w:rFonts w:ascii="Arial" w:hAnsi="Arial" w:hint="default"/>
      </w:rPr>
    </w:lvl>
    <w:lvl w:ilvl="2" w:tplc="B6B830E0">
      <w:numFmt w:val="bullet"/>
      <w:lvlText w:val="•"/>
      <w:lvlJc w:val="left"/>
      <w:pPr>
        <w:tabs>
          <w:tab w:val="num" w:pos="1800"/>
        </w:tabs>
        <w:ind w:left="1800" w:hanging="360"/>
      </w:pPr>
      <w:rPr>
        <w:rFonts w:ascii="Arial" w:hAnsi="Arial" w:hint="default"/>
      </w:rPr>
    </w:lvl>
    <w:lvl w:ilvl="3" w:tplc="9008F49E">
      <w:numFmt w:val="bullet"/>
      <w:lvlText w:val="•"/>
      <w:lvlJc w:val="left"/>
      <w:pPr>
        <w:tabs>
          <w:tab w:val="num" w:pos="2520"/>
        </w:tabs>
        <w:ind w:left="2520" w:hanging="360"/>
      </w:pPr>
      <w:rPr>
        <w:rFonts w:ascii="Arial" w:hAnsi="Arial" w:hint="default"/>
      </w:rPr>
    </w:lvl>
    <w:lvl w:ilvl="4" w:tplc="D3701D7C" w:tentative="1">
      <w:start w:val="1"/>
      <w:numFmt w:val="bullet"/>
      <w:lvlText w:val="•"/>
      <w:lvlJc w:val="left"/>
      <w:pPr>
        <w:tabs>
          <w:tab w:val="num" w:pos="3240"/>
        </w:tabs>
        <w:ind w:left="3240" w:hanging="360"/>
      </w:pPr>
      <w:rPr>
        <w:rFonts w:ascii="Arial" w:hAnsi="Arial" w:hint="default"/>
      </w:rPr>
    </w:lvl>
    <w:lvl w:ilvl="5" w:tplc="96FEF514" w:tentative="1">
      <w:start w:val="1"/>
      <w:numFmt w:val="bullet"/>
      <w:lvlText w:val="•"/>
      <w:lvlJc w:val="left"/>
      <w:pPr>
        <w:tabs>
          <w:tab w:val="num" w:pos="3960"/>
        </w:tabs>
        <w:ind w:left="3960" w:hanging="360"/>
      </w:pPr>
      <w:rPr>
        <w:rFonts w:ascii="Arial" w:hAnsi="Arial" w:hint="default"/>
      </w:rPr>
    </w:lvl>
    <w:lvl w:ilvl="6" w:tplc="85187EB8" w:tentative="1">
      <w:start w:val="1"/>
      <w:numFmt w:val="bullet"/>
      <w:lvlText w:val="•"/>
      <w:lvlJc w:val="left"/>
      <w:pPr>
        <w:tabs>
          <w:tab w:val="num" w:pos="4680"/>
        </w:tabs>
        <w:ind w:left="4680" w:hanging="360"/>
      </w:pPr>
      <w:rPr>
        <w:rFonts w:ascii="Arial" w:hAnsi="Arial" w:hint="default"/>
      </w:rPr>
    </w:lvl>
    <w:lvl w:ilvl="7" w:tplc="B52A95D2" w:tentative="1">
      <w:start w:val="1"/>
      <w:numFmt w:val="bullet"/>
      <w:lvlText w:val="•"/>
      <w:lvlJc w:val="left"/>
      <w:pPr>
        <w:tabs>
          <w:tab w:val="num" w:pos="5400"/>
        </w:tabs>
        <w:ind w:left="5400" w:hanging="360"/>
      </w:pPr>
      <w:rPr>
        <w:rFonts w:ascii="Arial" w:hAnsi="Arial" w:hint="default"/>
      </w:rPr>
    </w:lvl>
    <w:lvl w:ilvl="8" w:tplc="0C18395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8"/>
  </w:num>
  <w:num w:numId="4">
    <w:abstractNumId w:val="9"/>
  </w:num>
  <w:num w:numId="5">
    <w:abstractNumId w:val="23"/>
  </w:num>
  <w:num w:numId="6">
    <w:abstractNumId w:val="15"/>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5"/>
    <w:lvlOverride w:ilvl="0">
      <w:startOverride w:val="1"/>
    </w:lvlOverride>
  </w:num>
  <w:num w:numId="12">
    <w:abstractNumId w:val="17"/>
    <w:lvlOverride w:ilvl="0">
      <w:startOverride w:val="1"/>
    </w:lvlOverride>
  </w:num>
  <w:num w:numId="13">
    <w:abstractNumId w:val="15"/>
    <w:lvlOverride w:ilvl="0">
      <w:startOverride w:val="1"/>
    </w:lvlOverride>
  </w:num>
  <w:num w:numId="14">
    <w:abstractNumId w:val="17"/>
    <w:lvlOverride w:ilvl="0">
      <w:startOverride w:val="1"/>
    </w:lvlOverride>
  </w:num>
  <w:num w:numId="15">
    <w:abstractNumId w:val="31"/>
  </w:num>
  <w:num w:numId="16">
    <w:abstractNumId w:val="7"/>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 w:numId="22">
    <w:abstractNumId w:val="28"/>
  </w:num>
  <w:num w:numId="23">
    <w:abstractNumId w:val="25"/>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0"/>
  </w:num>
  <w:num w:numId="27">
    <w:abstractNumId w:val="11"/>
  </w:num>
  <w:num w:numId="28">
    <w:abstractNumId w:val="1"/>
  </w:num>
  <w:num w:numId="29">
    <w:abstractNumId w:val="2"/>
  </w:num>
  <w:num w:numId="30">
    <w:abstractNumId w:val="29"/>
  </w:num>
  <w:num w:numId="31">
    <w:abstractNumId w:val="27"/>
  </w:num>
  <w:num w:numId="32">
    <w:abstractNumId w:val="13"/>
  </w:num>
  <w:num w:numId="33">
    <w:abstractNumId w:val="16"/>
  </w:num>
  <w:num w:numId="34">
    <w:abstractNumId w:val="12"/>
  </w:num>
  <w:num w:numId="35">
    <w:abstractNumId w:val="5"/>
  </w:num>
  <w:num w:numId="36">
    <w:abstractNumId w:val="24"/>
  </w:num>
  <w:num w:numId="37">
    <w:abstractNumId w:val="4"/>
  </w:num>
  <w:num w:numId="38">
    <w:abstractNumId w:val="8"/>
  </w:num>
  <w:num w:numId="39">
    <w:abstractNumId w:val="26"/>
  </w:num>
  <w:num w:numId="40">
    <w:abstractNumId w:val="22"/>
  </w:num>
  <w:num w:numId="41">
    <w:abstractNumId w:val="20"/>
  </w:num>
  <w:num w:numId="42">
    <w:abstractNumId w:val="3"/>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7101A"/>
    <w:rsid w:val="00074FED"/>
    <w:rsid w:val="0008612A"/>
    <w:rsid w:val="000B0056"/>
    <w:rsid w:val="000B005F"/>
    <w:rsid w:val="000D4E89"/>
    <w:rsid w:val="000E0505"/>
    <w:rsid w:val="00100DF1"/>
    <w:rsid w:val="00107708"/>
    <w:rsid w:val="00126990"/>
    <w:rsid w:val="001625F8"/>
    <w:rsid w:val="001745F8"/>
    <w:rsid w:val="001754B4"/>
    <w:rsid w:val="00176671"/>
    <w:rsid w:val="001838CF"/>
    <w:rsid w:val="001841C4"/>
    <w:rsid w:val="0019443D"/>
    <w:rsid w:val="001B0034"/>
    <w:rsid w:val="001C5304"/>
    <w:rsid w:val="001E30F6"/>
    <w:rsid w:val="00220ED5"/>
    <w:rsid w:val="002316D0"/>
    <w:rsid w:val="00235F5C"/>
    <w:rsid w:val="00256EAB"/>
    <w:rsid w:val="00274FE4"/>
    <w:rsid w:val="002A37E4"/>
    <w:rsid w:val="002A71D5"/>
    <w:rsid w:val="002B020D"/>
    <w:rsid w:val="002B4922"/>
    <w:rsid w:val="002C2D19"/>
    <w:rsid w:val="002D10FA"/>
    <w:rsid w:val="002D4C55"/>
    <w:rsid w:val="0032623A"/>
    <w:rsid w:val="00370383"/>
    <w:rsid w:val="0038214C"/>
    <w:rsid w:val="003B659E"/>
    <w:rsid w:val="003F5269"/>
    <w:rsid w:val="00410C1C"/>
    <w:rsid w:val="00417AA0"/>
    <w:rsid w:val="0043750A"/>
    <w:rsid w:val="00443559"/>
    <w:rsid w:val="00450F5D"/>
    <w:rsid w:val="00463825"/>
    <w:rsid w:val="004B7B4A"/>
    <w:rsid w:val="004C1EB4"/>
    <w:rsid w:val="004D7F9F"/>
    <w:rsid w:val="004E27A4"/>
    <w:rsid w:val="004E5E66"/>
    <w:rsid w:val="004F3D3B"/>
    <w:rsid w:val="00503B4D"/>
    <w:rsid w:val="00504EE9"/>
    <w:rsid w:val="005240B7"/>
    <w:rsid w:val="0054442C"/>
    <w:rsid w:val="00550285"/>
    <w:rsid w:val="005836F8"/>
    <w:rsid w:val="005918FA"/>
    <w:rsid w:val="005D0338"/>
    <w:rsid w:val="005E61A8"/>
    <w:rsid w:val="005F6419"/>
    <w:rsid w:val="00614105"/>
    <w:rsid w:val="00617400"/>
    <w:rsid w:val="00660DC2"/>
    <w:rsid w:val="00664950"/>
    <w:rsid w:val="006764BB"/>
    <w:rsid w:val="00683220"/>
    <w:rsid w:val="00687FA0"/>
    <w:rsid w:val="006B2AF8"/>
    <w:rsid w:val="006B7010"/>
    <w:rsid w:val="006F4187"/>
    <w:rsid w:val="00702B7D"/>
    <w:rsid w:val="007145FF"/>
    <w:rsid w:val="00751515"/>
    <w:rsid w:val="00754AAA"/>
    <w:rsid w:val="00785232"/>
    <w:rsid w:val="007A6422"/>
    <w:rsid w:val="007C33D9"/>
    <w:rsid w:val="007C3ED0"/>
    <w:rsid w:val="007C4C53"/>
    <w:rsid w:val="007F6B81"/>
    <w:rsid w:val="00806A76"/>
    <w:rsid w:val="00811C9D"/>
    <w:rsid w:val="00816C80"/>
    <w:rsid w:val="00820C48"/>
    <w:rsid w:val="00835C66"/>
    <w:rsid w:val="00841BCD"/>
    <w:rsid w:val="008826C1"/>
    <w:rsid w:val="008A23C5"/>
    <w:rsid w:val="008C37E4"/>
    <w:rsid w:val="008C6F57"/>
    <w:rsid w:val="009042BD"/>
    <w:rsid w:val="009153D4"/>
    <w:rsid w:val="00921C13"/>
    <w:rsid w:val="009249B4"/>
    <w:rsid w:val="00977E1D"/>
    <w:rsid w:val="009830D1"/>
    <w:rsid w:val="00985EAF"/>
    <w:rsid w:val="0099686D"/>
    <w:rsid w:val="009B2113"/>
    <w:rsid w:val="009C0262"/>
    <w:rsid w:val="009C3226"/>
    <w:rsid w:val="009C4527"/>
    <w:rsid w:val="009E3C11"/>
    <w:rsid w:val="00A0203F"/>
    <w:rsid w:val="00A02AF0"/>
    <w:rsid w:val="00A077CE"/>
    <w:rsid w:val="00A15A9F"/>
    <w:rsid w:val="00A22B78"/>
    <w:rsid w:val="00A25AE5"/>
    <w:rsid w:val="00A37002"/>
    <w:rsid w:val="00A506FD"/>
    <w:rsid w:val="00A7492F"/>
    <w:rsid w:val="00A86E66"/>
    <w:rsid w:val="00A95C98"/>
    <w:rsid w:val="00AA1B0E"/>
    <w:rsid w:val="00AA1C57"/>
    <w:rsid w:val="00AA1E5C"/>
    <w:rsid w:val="00AC1214"/>
    <w:rsid w:val="00AC2B38"/>
    <w:rsid w:val="00AC5CA7"/>
    <w:rsid w:val="00AE56B1"/>
    <w:rsid w:val="00AE6451"/>
    <w:rsid w:val="00B16397"/>
    <w:rsid w:val="00B53D00"/>
    <w:rsid w:val="00B5454D"/>
    <w:rsid w:val="00B73862"/>
    <w:rsid w:val="00B74C1F"/>
    <w:rsid w:val="00B8606D"/>
    <w:rsid w:val="00BA6E48"/>
    <w:rsid w:val="00BF2218"/>
    <w:rsid w:val="00C04855"/>
    <w:rsid w:val="00C0541A"/>
    <w:rsid w:val="00C073BD"/>
    <w:rsid w:val="00C203DD"/>
    <w:rsid w:val="00C42272"/>
    <w:rsid w:val="00C42DCE"/>
    <w:rsid w:val="00C74935"/>
    <w:rsid w:val="00C83C46"/>
    <w:rsid w:val="00CB5915"/>
    <w:rsid w:val="00CD7492"/>
    <w:rsid w:val="00CE1EBA"/>
    <w:rsid w:val="00CE3A6B"/>
    <w:rsid w:val="00D00211"/>
    <w:rsid w:val="00D03FC6"/>
    <w:rsid w:val="00D06309"/>
    <w:rsid w:val="00D351EA"/>
    <w:rsid w:val="00D43403"/>
    <w:rsid w:val="00D62E71"/>
    <w:rsid w:val="00D718F1"/>
    <w:rsid w:val="00D740CA"/>
    <w:rsid w:val="00D762F2"/>
    <w:rsid w:val="00D82C09"/>
    <w:rsid w:val="00D85728"/>
    <w:rsid w:val="00DA7616"/>
    <w:rsid w:val="00DD7E8A"/>
    <w:rsid w:val="00DF2997"/>
    <w:rsid w:val="00E20ED2"/>
    <w:rsid w:val="00E246CE"/>
    <w:rsid w:val="00E31948"/>
    <w:rsid w:val="00E52560"/>
    <w:rsid w:val="00E53F93"/>
    <w:rsid w:val="00E6410D"/>
    <w:rsid w:val="00E80E17"/>
    <w:rsid w:val="00E8297E"/>
    <w:rsid w:val="00E93772"/>
    <w:rsid w:val="00EB55EA"/>
    <w:rsid w:val="00EC7BC3"/>
    <w:rsid w:val="00ED7600"/>
    <w:rsid w:val="00EE15DB"/>
    <w:rsid w:val="00EE7CB7"/>
    <w:rsid w:val="00EF236A"/>
    <w:rsid w:val="00F03CC9"/>
    <w:rsid w:val="00F1362C"/>
    <w:rsid w:val="00F34499"/>
    <w:rsid w:val="00F44843"/>
    <w:rsid w:val="00F45713"/>
    <w:rsid w:val="00F52735"/>
    <w:rsid w:val="00F64F6E"/>
    <w:rsid w:val="00F824F5"/>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5240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5240B7"/>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rsid w:val="00F64F6E"/>
    <w:pPr>
      <w:spacing w:before="0" w:after="180" w:line="240" w:lineRule="auto"/>
      <w:ind w:left="568" w:hanging="284"/>
    </w:pPr>
    <w:rPr>
      <w:rFonts w:eastAsia="宋体" w:cs="Times New Roman"/>
      <w:szCs w:val="20"/>
      <w:lang w:val="en-GB"/>
    </w:rPr>
  </w:style>
  <w:style w:type="character" w:customStyle="1" w:styleId="B1Char">
    <w:name w:val="B1 Char"/>
    <w:link w:val="B1"/>
    <w:rsid w:val="00F64F6E"/>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D733E-F509-4444-B26F-6D0FF628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3</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33</cp:revision>
  <dcterms:created xsi:type="dcterms:W3CDTF">2018-05-01T11:51:00Z</dcterms:created>
  <dcterms:modified xsi:type="dcterms:W3CDTF">2018-06-25T18:42:00Z</dcterms:modified>
</cp:coreProperties>
</file>