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21E977CF"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w:t>
      </w:r>
      <w:r w:rsidR="008F199D">
        <w:rPr>
          <w:rFonts w:ascii="Arial" w:hAnsi="Arial" w:cs="Arial"/>
          <w:b/>
          <w:bCs/>
          <w:sz w:val="24"/>
          <w:szCs w:val="24"/>
          <w:lang w:val="en-GB"/>
        </w:rPr>
        <w:t>4</w:t>
      </w:r>
      <w:r>
        <w:rPr>
          <w:rFonts w:ascii="Arial" w:hAnsi="Arial" w:cs="Arial"/>
          <w:b/>
          <w:bCs/>
          <w:sz w:val="24"/>
          <w:szCs w:val="24"/>
          <w:lang w:val="en-GB"/>
        </w:rPr>
        <w:t xml:space="preserve"> Meeting #</w:t>
      </w:r>
      <w:r w:rsidR="00324D6B">
        <w:rPr>
          <w:rFonts w:ascii="Arial" w:hAnsi="Arial" w:cs="Arial"/>
          <w:b/>
          <w:bCs/>
          <w:sz w:val="24"/>
          <w:szCs w:val="24"/>
          <w:lang w:val="en-GB"/>
        </w:rPr>
        <w:t>9</w:t>
      </w:r>
      <w:r w:rsidR="008F199D">
        <w:rPr>
          <w:rFonts w:ascii="Arial" w:hAnsi="Arial" w:cs="Arial"/>
          <w:b/>
          <w:bCs/>
          <w:sz w:val="24"/>
          <w:szCs w:val="24"/>
          <w:lang w:val="en-GB"/>
        </w:rPr>
        <w:t>9</w:t>
      </w:r>
      <w:r>
        <w:rPr>
          <w:rFonts w:ascii="Arial" w:hAnsi="Arial" w:cs="Arial"/>
          <w:b/>
          <w:bCs/>
          <w:sz w:val="24"/>
          <w:szCs w:val="24"/>
          <w:lang w:val="en-GB"/>
        </w:rPr>
        <w:t>-</w:t>
      </w:r>
      <w:r w:rsidRPr="00A63D7D">
        <w:rPr>
          <w:rFonts w:ascii="Arial" w:hAnsi="Arial" w:cs="Arial"/>
          <w:b/>
          <w:bCs/>
          <w:sz w:val="24"/>
          <w:szCs w:val="24"/>
          <w:lang w:val="en-GB"/>
        </w:rPr>
        <w:t>e</w:t>
      </w:r>
      <w:r w:rsidRPr="00A63D7D">
        <w:rPr>
          <w:rFonts w:ascii="Arial" w:hAnsi="Arial" w:cs="Arial"/>
          <w:b/>
          <w:bCs/>
          <w:i/>
          <w:iCs/>
          <w:sz w:val="28"/>
          <w:szCs w:val="28"/>
          <w:lang w:val="en-GB"/>
        </w:rPr>
        <w:t xml:space="preserve">                                                    </w:t>
      </w:r>
      <w:r w:rsidRPr="00A63D7D">
        <w:rPr>
          <w:rFonts w:ascii="Arial" w:hAnsi="Arial" w:cs="Arial"/>
          <w:b/>
          <w:bCs/>
          <w:sz w:val="28"/>
          <w:szCs w:val="28"/>
          <w:lang w:val="en-GB"/>
        </w:rPr>
        <w:t>R</w:t>
      </w:r>
      <w:r w:rsidR="008F199D">
        <w:rPr>
          <w:rFonts w:ascii="Arial" w:hAnsi="Arial" w:cs="Arial"/>
          <w:b/>
          <w:bCs/>
          <w:sz w:val="28"/>
          <w:szCs w:val="28"/>
          <w:lang w:val="en-GB"/>
        </w:rPr>
        <w:t>4</w:t>
      </w:r>
      <w:r w:rsidRPr="00A63D7D">
        <w:rPr>
          <w:rFonts w:ascii="Arial" w:hAnsi="Arial" w:cs="Arial"/>
          <w:b/>
          <w:bCs/>
          <w:sz w:val="28"/>
          <w:szCs w:val="28"/>
          <w:lang w:val="en-GB"/>
        </w:rPr>
        <w:t>-2</w:t>
      </w:r>
      <w:r w:rsidR="00324D6B">
        <w:rPr>
          <w:rFonts w:ascii="Arial" w:hAnsi="Arial" w:cs="Arial"/>
          <w:b/>
          <w:bCs/>
          <w:sz w:val="28"/>
          <w:szCs w:val="28"/>
          <w:lang w:val="en-GB"/>
        </w:rPr>
        <w:t>1</w:t>
      </w:r>
      <w:r w:rsidR="00016BD8">
        <w:rPr>
          <w:rFonts w:ascii="Arial" w:hAnsi="Arial" w:cs="Arial"/>
          <w:b/>
          <w:bCs/>
          <w:sz w:val="28"/>
          <w:szCs w:val="28"/>
          <w:lang w:val="en-GB"/>
        </w:rPr>
        <w:t>11508</w:t>
      </w:r>
    </w:p>
    <w:p w14:paraId="258131DC" w14:textId="27BBE12A" w:rsidR="005560D9" w:rsidRDefault="005560D9" w:rsidP="005560D9">
      <w:pPr>
        <w:pStyle w:val="CRCoverPage"/>
        <w:rPr>
          <w:b/>
          <w:bCs/>
          <w:sz w:val="24"/>
          <w:szCs w:val="24"/>
        </w:rPr>
      </w:pPr>
      <w:r>
        <w:rPr>
          <w:b/>
          <w:bCs/>
          <w:sz w:val="24"/>
          <w:szCs w:val="24"/>
        </w:rPr>
        <w:t xml:space="preserve">Electronic Meeting, </w:t>
      </w:r>
      <w:r w:rsidR="000B3C93">
        <w:rPr>
          <w:b/>
          <w:bCs/>
          <w:sz w:val="24"/>
          <w:szCs w:val="24"/>
        </w:rPr>
        <w:t>1</w:t>
      </w:r>
      <w:r w:rsidR="003173C7">
        <w:rPr>
          <w:b/>
          <w:bCs/>
          <w:sz w:val="24"/>
          <w:szCs w:val="24"/>
        </w:rPr>
        <w:t>9</w:t>
      </w:r>
      <w:r w:rsidR="004F2185" w:rsidRPr="004F2185">
        <w:rPr>
          <w:b/>
          <w:bCs/>
          <w:sz w:val="24"/>
          <w:szCs w:val="24"/>
          <w:vertAlign w:val="superscript"/>
        </w:rPr>
        <w:t>th</w:t>
      </w:r>
      <w:r w:rsidR="004F2185">
        <w:rPr>
          <w:b/>
          <w:bCs/>
          <w:sz w:val="24"/>
          <w:szCs w:val="24"/>
        </w:rPr>
        <w:t xml:space="preserve"> May</w:t>
      </w:r>
      <w:r w:rsidR="0027603E">
        <w:rPr>
          <w:b/>
          <w:bCs/>
          <w:sz w:val="24"/>
          <w:szCs w:val="24"/>
        </w:rPr>
        <w:t xml:space="preserve"> – </w:t>
      </w:r>
      <w:r w:rsidR="004F2185">
        <w:rPr>
          <w:b/>
          <w:bCs/>
          <w:sz w:val="24"/>
          <w:szCs w:val="24"/>
        </w:rPr>
        <w:t>2</w:t>
      </w:r>
      <w:r w:rsidR="003173C7">
        <w:rPr>
          <w:b/>
          <w:bCs/>
          <w:sz w:val="24"/>
          <w:szCs w:val="24"/>
        </w:rPr>
        <w:t>7</w:t>
      </w:r>
      <w:r w:rsidR="0027603E" w:rsidRPr="0027603E">
        <w:rPr>
          <w:b/>
          <w:bCs/>
          <w:sz w:val="24"/>
          <w:szCs w:val="24"/>
          <w:vertAlign w:val="superscript"/>
        </w:rPr>
        <w:t>th</w:t>
      </w:r>
      <w:r w:rsidR="0027603E">
        <w:rPr>
          <w:b/>
          <w:bCs/>
          <w:sz w:val="24"/>
          <w:szCs w:val="24"/>
        </w:rPr>
        <w:t xml:space="preserve"> Ma</w:t>
      </w:r>
      <w:r w:rsidR="004F2185">
        <w:rPr>
          <w:b/>
          <w:bCs/>
          <w:sz w:val="24"/>
          <w:szCs w:val="24"/>
        </w:rPr>
        <w:t>y</w:t>
      </w:r>
    </w:p>
    <w:p w14:paraId="68628F53" w14:textId="06A236F6" w:rsidR="005560D9" w:rsidRDefault="005560D9" w:rsidP="005560D9">
      <w:pPr>
        <w:spacing w:before="240" w:after="120" w:line="257" w:lineRule="auto"/>
        <w:rPr>
          <w:rFonts w:ascii="Arial" w:hAnsi="Arial"/>
        </w:rPr>
      </w:pPr>
      <w:r>
        <w:rPr>
          <w:rFonts w:ascii="Arial" w:hAnsi="Arial"/>
          <w:b/>
        </w:rPr>
        <w:t>Title:</w:t>
      </w:r>
      <w:r>
        <w:rPr>
          <w:rFonts w:ascii="Arial" w:hAnsi="Arial"/>
          <w:b/>
        </w:rPr>
        <w:tab/>
      </w:r>
      <w:r>
        <w:rPr>
          <w:rFonts w:ascii="Arial" w:hAnsi="Arial"/>
          <w:b/>
        </w:rPr>
        <w:tab/>
        <w:t xml:space="preserve">       </w:t>
      </w:r>
      <w:r w:rsidRPr="0043623A">
        <w:rPr>
          <w:rFonts w:ascii="Arial" w:hAnsi="Arial"/>
          <w:bCs/>
        </w:rPr>
        <w:t xml:space="preserve"> </w:t>
      </w:r>
      <w:bookmarkStart w:id="0" w:name="_Hlk68710887"/>
      <w:r w:rsidR="0043623A" w:rsidRPr="0043623A">
        <w:rPr>
          <w:rFonts w:ascii="Arial" w:hAnsi="Arial"/>
          <w:bCs/>
        </w:rPr>
        <w:t>FR2 Extreme te</w:t>
      </w:r>
      <w:r w:rsidR="005C60DE">
        <w:rPr>
          <w:rFonts w:ascii="Arial" w:hAnsi="Arial"/>
          <w:bCs/>
        </w:rPr>
        <w:t>mperature</w:t>
      </w:r>
      <w:r w:rsidR="0043623A" w:rsidRPr="0043623A">
        <w:rPr>
          <w:rFonts w:ascii="Arial" w:hAnsi="Arial"/>
          <w:bCs/>
        </w:rPr>
        <w:t xml:space="preserve"> conditions applicability</w:t>
      </w:r>
      <w:bookmarkEnd w:id="0"/>
    </w:p>
    <w:p w14:paraId="28214B28" w14:textId="57072384" w:rsidR="005560D9" w:rsidRDefault="005560D9" w:rsidP="005560D9">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r w:rsidR="004446F8">
        <w:rPr>
          <w:rFonts w:ascii="Arial" w:hAnsi="Arial"/>
        </w:rPr>
        <w:t xml:space="preserve"> UK Ltd</w:t>
      </w:r>
    </w:p>
    <w:p w14:paraId="204CF581" w14:textId="06BE1F1F"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009A72FF">
        <w:rPr>
          <w:rFonts w:ascii="Arial" w:hAnsi="Arial"/>
          <w:lang w:val="pt-BR"/>
        </w:rPr>
        <w:t>4.1.2.2</w:t>
      </w:r>
    </w:p>
    <w:p w14:paraId="437323A4" w14:textId="03F5ADDE" w:rsidR="005560D9" w:rsidRDefault="005560D9" w:rsidP="005560D9">
      <w:pPr>
        <w:spacing w:before="120" w:after="120"/>
        <w:ind w:left="1985" w:hanging="1985"/>
        <w:rPr>
          <w:rFonts w:ascii="Arial" w:eastAsia="MS Mincho" w:hAnsi="Arial"/>
          <w:lang w:val="pt-BR"/>
        </w:rPr>
      </w:pPr>
      <w:r w:rsidRPr="3F6C3747">
        <w:rPr>
          <w:rFonts w:ascii="Arial" w:hAnsi="Arial"/>
          <w:b/>
          <w:bCs/>
          <w:lang w:val="pt-BR"/>
        </w:rPr>
        <w:t>Document for:</w:t>
      </w:r>
      <w:r>
        <w:tab/>
      </w:r>
      <w:r w:rsidR="00AF5D39" w:rsidRPr="3F6C3747">
        <w:rPr>
          <w:rFonts w:ascii="Arial" w:hAnsi="Arial"/>
          <w:lang w:val="pt-BR"/>
        </w:rPr>
        <w:t xml:space="preserve">Discussion and </w:t>
      </w:r>
      <w:r w:rsidRPr="3F6C3747">
        <w:rPr>
          <w:rFonts w:ascii="Arial" w:eastAsia="Times New Roman" w:hAnsi="Arial"/>
          <w:lang w:val="pt-BR"/>
        </w:rPr>
        <w:t>E</w:t>
      </w:r>
      <w:r w:rsidRPr="3F6C3747">
        <w:rPr>
          <w:rFonts w:ascii="Arial" w:eastAsia="MS Mincho" w:hAnsi="Arial"/>
          <w:lang w:val="pt-BR"/>
        </w:rPr>
        <w:t>ndorsement</w:t>
      </w:r>
    </w:p>
    <w:p w14:paraId="332B12E3" w14:textId="77777777" w:rsidR="007B7AE3" w:rsidRDefault="007B7AE3" w:rsidP="007B7AE3">
      <w:pPr>
        <w:pBdr>
          <w:bottom w:val="single" w:sz="4" w:space="0" w:color="auto"/>
        </w:pBdr>
        <w:spacing w:before="120" w:after="120"/>
        <w:rPr>
          <w:rFonts w:ascii="Arial" w:hAnsi="Arial"/>
          <w:lang w:val="pt-BR"/>
        </w:rPr>
      </w:pPr>
    </w:p>
    <w:p w14:paraId="16804CCF"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1E6D43E1" w14:textId="5C4DAF95" w:rsidR="0043623A" w:rsidRDefault="00F72B16" w:rsidP="0043623A">
      <w:pPr>
        <w:ind w:left="48"/>
        <w:rPr>
          <w:rFonts w:eastAsia="Batang"/>
        </w:rPr>
      </w:pPr>
      <w:r>
        <w:rPr>
          <w:rFonts w:eastAsia="Batang"/>
        </w:rPr>
        <w:t>FR2 enhanced test method study item</w:t>
      </w:r>
      <w:r w:rsidR="00E81E9C">
        <w:rPr>
          <w:rFonts w:eastAsia="Batang"/>
        </w:rPr>
        <w:t xml:space="preserve"> included among their objectives the feasibility of FR2 extreme testing conditions</w:t>
      </w:r>
      <w:r w:rsidR="004D379D">
        <w:rPr>
          <w:rFonts w:eastAsia="Batang"/>
        </w:rPr>
        <w:t xml:space="preserve"> as, when Rel-15 core requirements were defined, there were some concerns about </w:t>
      </w:r>
      <w:r w:rsidR="00376372">
        <w:rPr>
          <w:rFonts w:eastAsia="Batang"/>
        </w:rPr>
        <w:t xml:space="preserve">whether there could be some restrictions </w:t>
      </w:r>
      <w:r w:rsidR="00C412CA">
        <w:rPr>
          <w:rFonts w:eastAsia="Batang"/>
        </w:rPr>
        <w:t>testing e</w:t>
      </w:r>
      <w:r w:rsidR="00376372">
        <w:rPr>
          <w:rFonts w:eastAsia="Batang"/>
        </w:rPr>
        <w:t>xtreme te</w:t>
      </w:r>
      <w:r w:rsidR="00C412CA">
        <w:rPr>
          <w:rFonts w:eastAsia="Batang"/>
        </w:rPr>
        <w:t>mperature</w:t>
      </w:r>
      <w:r w:rsidR="00376372">
        <w:rPr>
          <w:rFonts w:eastAsia="Batang"/>
        </w:rPr>
        <w:t xml:space="preserve"> conditions </w:t>
      </w:r>
      <w:r w:rsidR="00C412CA">
        <w:rPr>
          <w:rFonts w:eastAsia="Batang"/>
        </w:rPr>
        <w:t>in an OTA measurement set-up</w:t>
      </w:r>
      <w:r w:rsidR="00F2160B">
        <w:rPr>
          <w:rFonts w:eastAsia="Batang"/>
        </w:rPr>
        <w:t>, especially for spherical measurements</w:t>
      </w:r>
      <w:r w:rsidR="00C412CA">
        <w:rPr>
          <w:rFonts w:eastAsia="Batang"/>
        </w:rPr>
        <w:t>.</w:t>
      </w:r>
    </w:p>
    <w:p w14:paraId="747C0D85" w14:textId="172C5842" w:rsidR="0043623A" w:rsidRDefault="0043623A" w:rsidP="0043623A">
      <w:pPr>
        <w:ind w:left="48"/>
        <w:rPr>
          <w:rFonts w:eastAsia="Batang"/>
        </w:rPr>
      </w:pPr>
      <w:r>
        <w:rPr>
          <w:rFonts w:eastAsia="Batang"/>
        </w:rPr>
        <w:t xml:space="preserve">Now that ETC testability has progressed </w:t>
      </w:r>
      <w:r w:rsidR="00BE3E5B">
        <w:rPr>
          <w:rFonts w:eastAsia="Batang"/>
        </w:rPr>
        <w:t xml:space="preserve">in either RAN4 and RAN5 </w:t>
      </w:r>
      <w:r>
        <w:rPr>
          <w:rFonts w:eastAsia="Batang"/>
        </w:rPr>
        <w:t>(</w:t>
      </w:r>
      <w:r w:rsidR="00E27A18">
        <w:rPr>
          <w:rFonts w:eastAsia="Batang"/>
        </w:rPr>
        <w:t xml:space="preserve">[2], </w:t>
      </w:r>
      <w:r>
        <w:rPr>
          <w:rFonts w:eastAsia="Batang"/>
        </w:rPr>
        <w:t>[</w:t>
      </w:r>
      <w:r w:rsidR="003C5F91">
        <w:rPr>
          <w:rFonts w:eastAsia="Batang"/>
        </w:rPr>
        <w:t>3</w:t>
      </w:r>
      <w:r>
        <w:rPr>
          <w:rFonts w:eastAsia="Batang"/>
        </w:rPr>
        <w:t>], [</w:t>
      </w:r>
      <w:r w:rsidR="003C5F91">
        <w:rPr>
          <w:rFonts w:eastAsia="Batang"/>
        </w:rPr>
        <w:t>4</w:t>
      </w:r>
      <w:r>
        <w:rPr>
          <w:rFonts w:eastAsia="Batang"/>
        </w:rPr>
        <w:t>]</w:t>
      </w:r>
      <w:r w:rsidR="003C5F91">
        <w:rPr>
          <w:rFonts w:eastAsia="Batang"/>
        </w:rPr>
        <w:t>, [5], [6]</w:t>
      </w:r>
      <w:r w:rsidR="00A40C47">
        <w:rPr>
          <w:rFonts w:eastAsia="Batang"/>
        </w:rPr>
        <w:t>, [7], [8]</w:t>
      </w:r>
      <w:r>
        <w:rPr>
          <w:rFonts w:eastAsia="Batang"/>
        </w:rPr>
        <w:t>) and some details are finalized on measurement uncertainties under ETC ([</w:t>
      </w:r>
      <w:r w:rsidR="004E52D3">
        <w:rPr>
          <w:rFonts w:eastAsia="Batang"/>
        </w:rPr>
        <w:t>9</w:t>
      </w:r>
      <w:r>
        <w:rPr>
          <w:rFonts w:eastAsia="Batang"/>
        </w:rPr>
        <w:t>]</w:t>
      </w:r>
      <w:r w:rsidR="00F63E0D">
        <w:rPr>
          <w:rFonts w:eastAsia="Batang"/>
        </w:rPr>
        <w:t>, [</w:t>
      </w:r>
      <w:r w:rsidR="004E52D3">
        <w:rPr>
          <w:rFonts w:eastAsia="Batang"/>
        </w:rPr>
        <w:t>10</w:t>
      </w:r>
      <w:r w:rsidR="00F63E0D">
        <w:rPr>
          <w:rFonts w:eastAsia="Batang"/>
        </w:rPr>
        <w:t>]</w:t>
      </w:r>
      <w:r>
        <w:rPr>
          <w:rFonts w:eastAsia="Batang"/>
        </w:rPr>
        <w:t>), a full revision of ETC applicability to FR2 test cases is required.</w:t>
      </w:r>
    </w:p>
    <w:p w14:paraId="7E0F3AB4" w14:textId="71AE0F9C"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43623A">
        <w:rPr>
          <w:b/>
          <w:noProof w:val="0"/>
        </w:rPr>
        <w:t>E</w:t>
      </w:r>
      <w:r w:rsidR="008017FC">
        <w:rPr>
          <w:b/>
          <w:noProof w:val="0"/>
        </w:rPr>
        <w:t>xtreme temperature conditions in TS38.101-2 [1]</w:t>
      </w:r>
    </w:p>
    <w:p w14:paraId="35D69324" w14:textId="201E0708" w:rsidR="00F92069" w:rsidRDefault="00DC7029" w:rsidP="00F63E0D">
      <w:pPr>
        <w:spacing w:before="120" w:after="120"/>
        <w:rPr>
          <w:rFonts w:eastAsia="MS Mincho"/>
          <w:lang w:val="en-GB"/>
        </w:rPr>
      </w:pPr>
      <w:r>
        <w:rPr>
          <w:rFonts w:eastAsia="MS Mincho"/>
          <w:lang w:val="en-GB"/>
        </w:rPr>
        <w:t>Core requirements for FR2 Standalone ([</w:t>
      </w:r>
      <w:r w:rsidR="00114B0D">
        <w:rPr>
          <w:rFonts w:eastAsia="MS Mincho"/>
          <w:lang w:val="en-GB"/>
        </w:rPr>
        <w:t>12</w:t>
      </w:r>
      <w:r>
        <w:rPr>
          <w:rFonts w:eastAsia="MS Mincho"/>
          <w:lang w:val="en-GB"/>
        </w:rPr>
        <w:t>]) includes the following statement in Annex E:</w:t>
      </w:r>
    </w:p>
    <w:tbl>
      <w:tblPr>
        <w:tblStyle w:val="TableGrid"/>
        <w:tblW w:w="0" w:type="auto"/>
        <w:tblLook w:val="04A0" w:firstRow="1" w:lastRow="0" w:firstColumn="1" w:lastColumn="0" w:noHBand="0" w:noVBand="1"/>
      </w:tblPr>
      <w:tblGrid>
        <w:gridCol w:w="9576"/>
      </w:tblGrid>
      <w:tr w:rsidR="00DC7029" w14:paraId="633960DA" w14:textId="77777777" w:rsidTr="3F6C3747">
        <w:tc>
          <w:tcPr>
            <w:tcW w:w="9350" w:type="dxa"/>
          </w:tcPr>
          <w:p w14:paraId="78836151" w14:textId="34D76CFE" w:rsidR="00DC7029" w:rsidRDefault="00DC7029" w:rsidP="00F63E0D">
            <w:pPr>
              <w:spacing w:before="120" w:after="120"/>
              <w:rPr>
                <w:b/>
              </w:rPr>
            </w:pPr>
            <w:r>
              <w:rPr>
                <w:noProof/>
              </w:rPr>
              <w:drawing>
                <wp:inline distT="0" distB="0" distL="0" distR="0" wp14:anchorId="477D2C2E" wp14:editId="692391B4">
                  <wp:extent cx="5943600" cy="30848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5943600" cy="3084830"/>
                          </a:xfrm>
                          <a:prstGeom prst="rect">
                            <a:avLst/>
                          </a:prstGeom>
                        </pic:spPr>
                      </pic:pic>
                    </a:graphicData>
                  </a:graphic>
                </wp:inline>
              </w:drawing>
            </w:r>
          </w:p>
        </w:tc>
      </w:tr>
    </w:tbl>
    <w:p w14:paraId="3745A384" w14:textId="351C2681" w:rsidR="00DC7029" w:rsidRDefault="00D92146" w:rsidP="3F6C3747">
      <w:pPr>
        <w:spacing w:before="120" w:after="120"/>
        <w:rPr>
          <w:b/>
          <w:bCs/>
        </w:rPr>
      </w:pPr>
      <w:r w:rsidRPr="3F6C3747">
        <w:rPr>
          <w:b/>
          <w:bCs/>
        </w:rPr>
        <w:t xml:space="preserve">Observation 1: Unless otherwise stated, all core requirements are applicable under nominal </w:t>
      </w:r>
      <w:r w:rsidR="00AF5D39" w:rsidRPr="3F6C3747">
        <w:rPr>
          <w:b/>
          <w:bCs/>
        </w:rPr>
        <w:t xml:space="preserve">and </w:t>
      </w:r>
      <w:r w:rsidRPr="3F6C3747">
        <w:rPr>
          <w:b/>
          <w:bCs/>
        </w:rPr>
        <w:t>extreme environmental testing conditions.</w:t>
      </w:r>
    </w:p>
    <w:p w14:paraId="13FDE674" w14:textId="49C1C86D" w:rsidR="0044526F" w:rsidRDefault="0044526F" w:rsidP="3F6C3747">
      <w:pPr>
        <w:spacing w:before="120" w:after="120"/>
        <w:rPr>
          <w:b/>
          <w:bCs/>
        </w:rPr>
      </w:pPr>
      <w:r>
        <w:rPr>
          <w:b/>
          <w:bCs/>
        </w:rPr>
        <w:t xml:space="preserve">Proposal 1: RAN4 </w:t>
      </w:r>
      <w:r w:rsidR="008D3C14">
        <w:rPr>
          <w:b/>
          <w:bCs/>
        </w:rPr>
        <w:t xml:space="preserve">to </w:t>
      </w:r>
      <w:r>
        <w:rPr>
          <w:b/>
          <w:bCs/>
        </w:rPr>
        <w:t>confirm that, u</w:t>
      </w:r>
      <w:r w:rsidRPr="3F6C3747">
        <w:rPr>
          <w:b/>
          <w:bCs/>
        </w:rPr>
        <w:t>nless otherwise stated, all core requirements are applicable under nominal and extreme environmental testing conditions.</w:t>
      </w:r>
    </w:p>
    <w:p w14:paraId="677E350D" w14:textId="3D99D333" w:rsidR="00D92146" w:rsidRPr="00D92146" w:rsidRDefault="00D92146" w:rsidP="00F63E0D">
      <w:pPr>
        <w:spacing w:before="120" w:after="120"/>
        <w:rPr>
          <w:bCs/>
        </w:rPr>
      </w:pPr>
      <w:r w:rsidRPr="00D92146">
        <w:rPr>
          <w:bCs/>
        </w:rPr>
        <w:t>[</w:t>
      </w:r>
      <w:r w:rsidR="00114B0D">
        <w:rPr>
          <w:bCs/>
        </w:rPr>
        <w:t>1</w:t>
      </w:r>
      <w:r w:rsidRPr="00D92146">
        <w:rPr>
          <w:bCs/>
        </w:rPr>
        <w:t xml:space="preserve">] </w:t>
      </w:r>
      <w:r>
        <w:rPr>
          <w:bCs/>
        </w:rPr>
        <w:t xml:space="preserve">only </w:t>
      </w:r>
      <w:r w:rsidRPr="00D92146">
        <w:rPr>
          <w:bCs/>
        </w:rPr>
        <w:t xml:space="preserve">includes the following </w:t>
      </w:r>
      <w:r>
        <w:rPr>
          <w:bCs/>
        </w:rPr>
        <w:t xml:space="preserve">explicit </w:t>
      </w:r>
      <w:r w:rsidRPr="00D92146">
        <w:rPr>
          <w:bCs/>
        </w:rPr>
        <w:t>exceptions to extreme testing conditions:</w:t>
      </w:r>
    </w:p>
    <w:tbl>
      <w:tblPr>
        <w:tblStyle w:val="TableGrid"/>
        <w:tblW w:w="0" w:type="auto"/>
        <w:tblLook w:val="04A0" w:firstRow="1" w:lastRow="0" w:firstColumn="1" w:lastColumn="0" w:noHBand="0" w:noVBand="1"/>
      </w:tblPr>
      <w:tblGrid>
        <w:gridCol w:w="9350"/>
      </w:tblGrid>
      <w:tr w:rsidR="00CF1EDE" w14:paraId="59601165" w14:textId="77777777" w:rsidTr="3F6C3747">
        <w:tc>
          <w:tcPr>
            <w:tcW w:w="9350" w:type="dxa"/>
          </w:tcPr>
          <w:p w14:paraId="3F7278F6" w14:textId="77777777" w:rsidR="00CF1EDE" w:rsidRDefault="00FC19AB" w:rsidP="00526FCB">
            <w:pPr>
              <w:spacing w:before="120" w:after="120"/>
              <w:jc w:val="center"/>
              <w:rPr>
                <w:noProof/>
              </w:rPr>
            </w:pPr>
            <w:r>
              <w:rPr>
                <w:noProof/>
              </w:rPr>
              <w:lastRenderedPageBreak/>
              <w:drawing>
                <wp:inline distT="0" distB="0" distL="0" distR="0" wp14:anchorId="1C7906FF" wp14:editId="64D0BF49">
                  <wp:extent cx="2421959" cy="1218767"/>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98762" cy="1257415"/>
                          </a:xfrm>
                          <a:prstGeom prst="rect">
                            <a:avLst/>
                          </a:prstGeom>
                        </pic:spPr>
                      </pic:pic>
                    </a:graphicData>
                  </a:graphic>
                </wp:inline>
              </w:drawing>
            </w:r>
            <w:r w:rsidR="000875CD">
              <w:rPr>
                <w:noProof/>
              </w:rPr>
              <w:t xml:space="preserve"> </w:t>
            </w:r>
            <w:r w:rsidR="000875CD">
              <w:rPr>
                <w:noProof/>
              </w:rPr>
              <w:drawing>
                <wp:inline distT="0" distB="0" distL="0" distR="0" wp14:anchorId="0D50DA87" wp14:editId="444BA529">
                  <wp:extent cx="2667837" cy="1209834"/>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50664" cy="1247395"/>
                          </a:xfrm>
                          <a:prstGeom prst="rect">
                            <a:avLst/>
                          </a:prstGeom>
                        </pic:spPr>
                      </pic:pic>
                    </a:graphicData>
                  </a:graphic>
                </wp:inline>
              </w:drawing>
            </w:r>
          </w:p>
          <w:p w14:paraId="205E3691" w14:textId="26B04A28" w:rsidR="005A6791" w:rsidRDefault="000875CD" w:rsidP="005A6791">
            <w:pPr>
              <w:spacing w:before="120" w:after="120"/>
              <w:jc w:val="center"/>
              <w:rPr>
                <w:noProof/>
              </w:rPr>
            </w:pPr>
            <w:r>
              <w:rPr>
                <w:noProof/>
              </w:rPr>
              <w:drawing>
                <wp:inline distT="0" distB="0" distL="0" distR="0" wp14:anchorId="0579203D" wp14:editId="5B5AAC23">
                  <wp:extent cx="2557306" cy="1496559"/>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73954" cy="1623343"/>
                          </a:xfrm>
                          <a:prstGeom prst="rect">
                            <a:avLst/>
                          </a:prstGeom>
                        </pic:spPr>
                      </pic:pic>
                    </a:graphicData>
                  </a:graphic>
                </wp:inline>
              </w:drawing>
            </w:r>
            <w:r w:rsidR="005A6791">
              <w:rPr>
                <w:noProof/>
              </w:rPr>
              <w:t xml:space="preserve"> </w:t>
            </w:r>
            <w:r w:rsidR="005A6791">
              <w:rPr>
                <w:noProof/>
              </w:rPr>
              <w:drawing>
                <wp:inline distT="0" distB="0" distL="0" distR="0" wp14:anchorId="4B8E9589" wp14:editId="57AB9B20">
                  <wp:extent cx="2955511" cy="148894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34596" cy="1579166"/>
                          </a:xfrm>
                          <a:prstGeom prst="rect">
                            <a:avLst/>
                          </a:prstGeom>
                        </pic:spPr>
                      </pic:pic>
                    </a:graphicData>
                  </a:graphic>
                </wp:inline>
              </w:drawing>
            </w:r>
          </w:p>
        </w:tc>
      </w:tr>
      <w:tr w:rsidR="00D92146" w14:paraId="13951967" w14:textId="77777777" w:rsidTr="3F6C3747">
        <w:tc>
          <w:tcPr>
            <w:tcW w:w="9350" w:type="dxa"/>
          </w:tcPr>
          <w:p w14:paraId="422153B5" w14:textId="4ACCDF2A" w:rsidR="00D92146" w:rsidRDefault="00D92146" w:rsidP="00526FCB">
            <w:pPr>
              <w:spacing w:before="120" w:after="120"/>
              <w:jc w:val="center"/>
              <w:rPr>
                <w:bCs/>
              </w:rPr>
            </w:pPr>
            <w:r>
              <w:rPr>
                <w:noProof/>
              </w:rPr>
              <w:drawing>
                <wp:inline distT="0" distB="0" distL="0" distR="0" wp14:anchorId="309A1883" wp14:editId="2DB7A5DF">
                  <wp:extent cx="4233553" cy="81912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4233553" cy="819120"/>
                          </a:xfrm>
                          <a:prstGeom prst="rect">
                            <a:avLst/>
                          </a:prstGeom>
                        </pic:spPr>
                      </pic:pic>
                    </a:graphicData>
                  </a:graphic>
                </wp:inline>
              </w:drawing>
            </w:r>
          </w:p>
        </w:tc>
      </w:tr>
      <w:tr w:rsidR="00D92146" w14:paraId="3DFBA6B7" w14:textId="77777777" w:rsidTr="3F6C3747">
        <w:tc>
          <w:tcPr>
            <w:tcW w:w="9350" w:type="dxa"/>
          </w:tcPr>
          <w:p w14:paraId="59FC454E" w14:textId="741006AE" w:rsidR="00D92146" w:rsidRDefault="00D92146" w:rsidP="00526FCB">
            <w:pPr>
              <w:spacing w:before="120" w:after="120"/>
              <w:jc w:val="center"/>
              <w:rPr>
                <w:bCs/>
              </w:rPr>
            </w:pPr>
            <w:r>
              <w:rPr>
                <w:noProof/>
              </w:rPr>
              <w:drawing>
                <wp:inline distT="0" distB="0" distL="0" distR="0" wp14:anchorId="25DD41DD" wp14:editId="538E1DD8">
                  <wp:extent cx="4144488" cy="1047634"/>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144488" cy="1047634"/>
                          </a:xfrm>
                          <a:prstGeom prst="rect">
                            <a:avLst/>
                          </a:prstGeom>
                        </pic:spPr>
                      </pic:pic>
                    </a:graphicData>
                  </a:graphic>
                </wp:inline>
              </w:drawing>
            </w:r>
          </w:p>
        </w:tc>
      </w:tr>
      <w:tr w:rsidR="00D92146" w14:paraId="3FE04F5E" w14:textId="77777777" w:rsidTr="3F6C3747">
        <w:tc>
          <w:tcPr>
            <w:tcW w:w="9350" w:type="dxa"/>
          </w:tcPr>
          <w:p w14:paraId="7A378B1A" w14:textId="74B7CD40" w:rsidR="00D92146" w:rsidRDefault="00D92146" w:rsidP="00526FCB">
            <w:pPr>
              <w:spacing w:before="120" w:after="120"/>
              <w:jc w:val="center"/>
              <w:rPr>
                <w:bCs/>
              </w:rPr>
            </w:pPr>
            <w:r>
              <w:rPr>
                <w:noProof/>
              </w:rPr>
              <w:drawing>
                <wp:inline distT="0" distB="0" distL="0" distR="0" wp14:anchorId="4A4A0AD5" wp14:editId="0BF9F170">
                  <wp:extent cx="4073236" cy="1935222"/>
                  <wp:effectExtent l="0" t="0" r="381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8">
                            <a:extLst>
                              <a:ext uri="{28A0092B-C50C-407E-A947-70E740481C1C}">
                                <a14:useLocalDpi xmlns:a14="http://schemas.microsoft.com/office/drawing/2010/main" val="0"/>
                              </a:ext>
                            </a:extLst>
                          </a:blip>
                          <a:stretch>
                            <a:fillRect/>
                          </a:stretch>
                        </pic:blipFill>
                        <pic:spPr>
                          <a:xfrm>
                            <a:off x="0" y="0"/>
                            <a:ext cx="4073236" cy="1935222"/>
                          </a:xfrm>
                          <a:prstGeom prst="rect">
                            <a:avLst/>
                          </a:prstGeom>
                        </pic:spPr>
                      </pic:pic>
                    </a:graphicData>
                  </a:graphic>
                </wp:inline>
              </w:drawing>
            </w:r>
          </w:p>
        </w:tc>
      </w:tr>
      <w:tr w:rsidR="00D92146" w14:paraId="4ACB50BA" w14:textId="77777777" w:rsidTr="3F6C3747">
        <w:tc>
          <w:tcPr>
            <w:tcW w:w="9350" w:type="dxa"/>
          </w:tcPr>
          <w:p w14:paraId="2EBAAEA9" w14:textId="66B59AE8" w:rsidR="00D92146" w:rsidRDefault="00D92146" w:rsidP="00526FCB">
            <w:pPr>
              <w:spacing w:before="120" w:after="120"/>
              <w:jc w:val="center"/>
              <w:rPr>
                <w:noProof/>
              </w:rPr>
            </w:pPr>
            <w:r>
              <w:rPr>
                <w:noProof/>
              </w:rPr>
              <w:drawing>
                <wp:inline distT="0" distB="0" distL="0" distR="0" wp14:anchorId="60049FDB" wp14:editId="3B7DCCB6">
                  <wp:extent cx="4178275" cy="1194558"/>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9">
                            <a:extLst>
                              <a:ext uri="{28A0092B-C50C-407E-A947-70E740481C1C}">
                                <a14:useLocalDpi xmlns:a14="http://schemas.microsoft.com/office/drawing/2010/main" val="0"/>
                              </a:ext>
                            </a:extLst>
                          </a:blip>
                          <a:stretch>
                            <a:fillRect/>
                          </a:stretch>
                        </pic:blipFill>
                        <pic:spPr>
                          <a:xfrm>
                            <a:off x="0" y="0"/>
                            <a:ext cx="4178275" cy="1194558"/>
                          </a:xfrm>
                          <a:prstGeom prst="rect">
                            <a:avLst/>
                          </a:prstGeom>
                        </pic:spPr>
                      </pic:pic>
                    </a:graphicData>
                  </a:graphic>
                </wp:inline>
              </w:drawing>
            </w:r>
          </w:p>
        </w:tc>
      </w:tr>
      <w:tr w:rsidR="00D92146" w14:paraId="455B1C7F" w14:textId="77777777" w:rsidTr="3F6C3747">
        <w:tc>
          <w:tcPr>
            <w:tcW w:w="9350" w:type="dxa"/>
          </w:tcPr>
          <w:p w14:paraId="39030ECA" w14:textId="04D2945D" w:rsidR="00D92146" w:rsidRDefault="00D92146" w:rsidP="00526FCB">
            <w:pPr>
              <w:spacing w:before="120" w:after="120"/>
              <w:jc w:val="center"/>
              <w:rPr>
                <w:noProof/>
              </w:rPr>
            </w:pPr>
            <w:r>
              <w:rPr>
                <w:noProof/>
              </w:rPr>
              <w:lastRenderedPageBreak/>
              <w:drawing>
                <wp:inline distT="0" distB="0" distL="0" distR="0" wp14:anchorId="1D9270EE" wp14:editId="13ACEB76">
                  <wp:extent cx="4157354" cy="121611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20">
                            <a:extLst>
                              <a:ext uri="{28A0092B-C50C-407E-A947-70E740481C1C}">
                                <a14:useLocalDpi xmlns:a14="http://schemas.microsoft.com/office/drawing/2010/main" val="0"/>
                              </a:ext>
                            </a:extLst>
                          </a:blip>
                          <a:stretch>
                            <a:fillRect/>
                          </a:stretch>
                        </pic:blipFill>
                        <pic:spPr>
                          <a:xfrm>
                            <a:off x="0" y="0"/>
                            <a:ext cx="4157354" cy="1216115"/>
                          </a:xfrm>
                          <a:prstGeom prst="rect">
                            <a:avLst/>
                          </a:prstGeom>
                        </pic:spPr>
                      </pic:pic>
                    </a:graphicData>
                  </a:graphic>
                </wp:inline>
              </w:drawing>
            </w:r>
          </w:p>
        </w:tc>
      </w:tr>
      <w:tr w:rsidR="00526FCB" w14:paraId="585EC939" w14:textId="77777777" w:rsidTr="3F6C3747">
        <w:tc>
          <w:tcPr>
            <w:tcW w:w="9350" w:type="dxa"/>
          </w:tcPr>
          <w:p w14:paraId="24367622" w14:textId="4FB5792F" w:rsidR="00526FCB" w:rsidRDefault="00526FCB" w:rsidP="00526FCB">
            <w:pPr>
              <w:spacing w:before="120" w:after="120"/>
              <w:jc w:val="center"/>
              <w:rPr>
                <w:noProof/>
              </w:rPr>
            </w:pPr>
            <w:r>
              <w:rPr>
                <w:noProof/>
              </w:rPr>
              <w:drawing>
                <wp:inline distT="0" distB="0" distL="0" distR="0" wp14:anchorId="7FF6ECCB" wp14:editId="30168A09">
                  <wp:extent cx="3336966" cy="1363664"/>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21">
                            <a:extLst>
                              <a:ext uri="{28A0092B-C50C-407E-A947-70E740481C1C}">
                                <a14:useLocalDpi xmlns:a14="http://schemas.microsoft.com/office/drawing/2010/main" val="0"/>
                              </a:ext>
                            </a:extLst>
                          </a:blip>
                          <a:stretch>
                            <a:fillRect/>
                          </a:stretch>
                        </pic:blipFill>
                        <pic:spPr>
                          <a:xfrm>
                            <a:off x="0" y="0"/>
                            <a:ext cx="3336966" cy="1363664"/>
                          </a:xfrm>
                          <a:prstGeom prst="rect">
                            <a:avLst/>
                          </a:prstGeom>
                        </pic:spPr>
                      </pic:pic>
                    </a:graphicData>
                  </a:graphic>
                </wp:inline>
              </w:drawing>
            </w:r>
          </w:p>
        </w:tc>
      </w:tr>
      <w:tr w:rsidR="00526FCB" w14:paraId="6FAA3181" w14:textId="77777777" w:rsidTr="3F6C3747">
        <w:tc>
          <w:tcPr>
            <w:tcW w:w="9350" w:type="dxa"/>
          </w:tcPr>
          <w:p w14:paraId="7FD5DF37" w14:textId="77777777" w:rsidR="00526FCB" w:rsidRDefault="00526FCB" w:rsidP="00526FCB">
            <w:pPr>
              <w:spacing w:before="120" w:after="120"/>
              <w:jc w:val="center"/>
              <w:rPr>
                <w:noProof/>
              </w:rPr>
            </w:pPr>
            <w:r>
              <w:rPr>
                <w:noProof/>
              </w:rPr>
              <w:drawing>
                <wp:inline distT="0" distB="0" distL="0" distR="0" wp14:anchorId="400A2EC0" wp14:editId="44ABCD13">
                  <wp:extent cx="3500090" cy="1165201"/>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500090" cy="1165201"/>
                          </a:xfrm>
                          <a:prstGeom prst="rect">
                            <a:avLst/>
                          </a:prstGeom>
                        </pic:spPr>
                      </pic:pic>
                    </a:graphicData>
                  </a:graphic>
                </wp:inline>
              </w:drawing>
            </w:r>
          </w:p>
          <w:p w14:paraId="67611002" w14:textId="77777777" w:rsidR="00526FCB" w:rsidRDefault="00526FCB" w:rsidP="00526FCB">
            <w:pPr>
              <w:spacing w:before="120" w:after="120"/>
              <w:jc w:val="center"/>
              <w:rPr>
                <w:noProof/>
              </w:rPr>
            </w:pPr>
            <w:r>
              <w:rPr>
                <w:noProof/>
              </w:rPr>
              <w:drawing>
                <wp:inline distT="0" distB="0" distL="0" distR="0" wp14:anchorId="652E0281" wp14:editId="4BB56AAB">
                  <wp:extent cx="3430197" cy="94000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430197" cy="940006"/>
                          </a:xfrm>
                          <a:prstGeom prst="rect">
                            <a:avLst/>
                          </a:prstGeom>
                        </pic:spPr>
                      </pic:pic>
                    </a:graphicData>
                  </a:graphic>
                </wp:inline>
              </w:drawing>
            </w:r>
          </w:p>
          <w:p w14:paraId="5EDE18AA" w14:textId="77777777" w:rsidR="00526FCB" w:rsidRDefault="00526FCB" w:rsidP="00526FCB">
            <w:pPr>
              <w:spacing w:before="120" w:after="120"/>
              <w:jc w:val="center"/>
              <w:rPr>
                <w:noProof/>
              </w:rPr>
            </w:pPr>
            <w:r>
              <w:rPr>
                <w:noProof/>
              </w:rPr>
              <w:drawing>
                <wp:inline distT="0" distB="0" distL="0" distR="0" wp14:anchorId="34616DAA" wp14:editId="5CB09564">
                  <wp:extent cx="3315827" cy="1101379"/>
                  <wp:effectExtent l="0" t="0" r="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315827" cy="1101379"/>
                          </a:xfrm>
                          <a:prstGeom prst="rect">
                            <a:avLst/>
                          </a:prstGeom>
                        </pic:spPr>
                      </pic:pic>
                    </a:graphicData>
                  </a:graphic>
                </wp:inline>
              </w:drawing>
            </w:r>
          </w:p>
          <w:p w14:paraId="03410003" w14:textId="25C88781" w:rsidR="00526FCB" w:rsidRDefault="00526FCB" w:rsidP="00526FCB">
            <w:pPr>
              <w:spacing w:before="120" w:after="120"/>
              <w:jc w:val="center"/>
              <w:rPr>
                <w:noProof/>
              </w:rPr>
            </w:pPr>
            <w:r>
              <w:rPr>
                <w:noProof/>
              </w:rPr>
              <w:drawing>
                <wp:inline distT="0" distB="0" distL="0" distR="0" wp14:anchorId="190315BD" wp14:editId="09772E0E">
                  <wp:extent cx="3225079" cy="100025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225079" cy="1000257"/>
                          </a:xfrm>
                          <a:prstGeom prst="rect">
                            <a:avLst/>
                          </a:prstGeom>
                        </pic:spPr>
                      </pic:pic>
                    </a:graphicData>
                  </a:graphic>
                </wp:inline>
              </w:drawing>
            </w:r>
          </w:p>
        </w:tc>
      </w:tr>
    </w:tbl>
    <w:p w14:paraId="42E6B4BF" w14:textId="6CF869AE" w:rsidR="00F05FAD" w:rsidRDefault="0033061A" w:rsidP="00F63E0D">
      <w:pPr>
        <w:spacing w:before="120" w:after="120"/>
        <w:rPr>
          <w:bCs/>
        </w:rPr>
      </w:pPr>
      <w:r>
        <w:rPr>
          <w:bCs/>
        </w:rPr>
        <w:t xml:space="preserve">Some of these exceptions are thought to be caused by </w:t>
      </w:r>
      <w:r w:rsidR="00231712">
        <w:rPr>
          <w:bCs/>
        </w:rPr>
        <w:t xml:space="preserve">FR2 ETC </w:t>
      </w:r>
      <w:r w:rsidR="00F05FAD">
        <w:rPr>
          <w:bCs/>
        </w:rPr>
        <w:t>testing feasibility concern</w:t>
      </w:r>
      <w:r w:rsidR="00231712">
        <w:rPr>
          <w:bCs/>
        </w:rPr>
        <w:t>s</w:t>
      </w:r>
      <w:r w:rsidR="00F05FAD">
        <w:rPr>
          <w:bCs/>
        </w:rPr>
        <w:t xml:space="preserve"> raised during Rel-15 </w:t>
      </w:r>
      <w:r w:rsidR="005F647D">
        <w:rPr>
          <w:bCs/>
        </w:rPr>
        <w:t xml:space="preserve">core </w:t>
      </w:r>
      <w:r w:rsidR="00F05FAD">
        <w:rPr>
          <w:bCs/>
        </w:rPr>
        <w:t>requirements definition</w:t>
      </w:r>
      <w:r w:rsidR="00826B07">
        <w:rPr>
          <w:bCs/>
        </w:rPr>
        <w:t xml:space="preserve">, specifically those </w:t>
      </w:r>
      <w:r w:rsidR="00231712">
        <w:rPr>
          <w:bCs/>
        </w:rPr>
        <w:t>affecting EIRP and EIS spherical coverage as well as those for beam correspondence.</w:t>
      </w:r>
      <w:r w:rsidR="0090283C">
        <w:rPr>
          <w:bCs/>
        </w:rPr>
        <w:t xml:space="preserve"> It should be noticed that in [2],</w:t>
      </w:r>
      <w:r w:rsidR="0012641B">
        <w:rPr>
          <w:bCs/>
        </w:rPr>
        <w:t xml:space="preserve"> the following details on test procedure were added for 3D scans:</w:t>
      </w:r>
    </w:p>
    <w:tbl>
      <w:tblPr>
        <w:tblStyle w:val="TableGrid"/>
        <w:tblW w:w="0" w:type="auto"/>
        <w:tblLook w:val="04A0" w:firstRow="1" w:lastRow="0" w:firstColumn="1" w:lastColumn="0" w:noHBand="0" w:noVBand="1"/>
      </w:tblPr>
      <w:tblGrid>
        <w:gridCol w:w="9576"/>
      </w:tblGrid>
      <w:tr w:rsidR="0012641B" w14:paraId="5515FD9B" w14:textId="77777777" w:rsidTr="0012641B">
        <w:tc>
          <w:tcPr>
            <w:tcW w:w="9350" w:type="dxa"/>
          </w:tcPr>
          <w:p w14:paraId="072C99D4" w14:textId="522B4387" w:rsidR="0012641B" w:rsidRDefault="0012641B" w:rsidP="00F63E0D">
            <w:pPr>
              <w:spacing w:before="120" w:after="120"/>
              <w:rPr>
                <w:bCs/>
              </w:rPr>
            </w:pPr>
            <w:r>
              <w:rPr>
                <w:noProof/>
              </w:rPr>
              <w:lastRenderedPageBreak/>
              <w:drawing>
                <wp:inline distT="0" distB="0" distL="0" distR="0" wp14:anchorId="60CA6669" wp14:editId="4FC7B837">
                  <wp:extent cx="5943600" cy="20262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43600" cy="2026285"/>
                          </a:xfrm>
                          <a:prstGeom prst="rect">
                            <a:avLst/>
                          </a:prstGeom>
                        </pic:spPr>
                      </pic:pic>
                    </a:graphicData>
                  </a:graphic>
                </wp:inline>
              </w:drawing>
            </w:r>
          </w:p>
        </w:tc>
      </w:tr>
    </w:tbl>
    <w:p w14:paraId="10FB3BA3" w14:textId="401385BB" w:rsidR="0012641B" w:rsidRDefault="0060306E" w:rsidP="00F63E0D">
      <w:pPr>
        <w:spacing w:before="120" w:after="120"/>
        <w:rPr>
          <w:bCs/>
        </w:rPr>
      </w:pPr>
      <w:r>
        <w:rPr>
          <w:bCs/>
        </w:rPr>
        <w:t xml:space="preserve">Hence spherical measurements are </w:t>
      </w:r>
      <w:r w:rsidR="00875D87">
        <w:rPr>
          <w:bCs/>
        </w:rPr>
        <w:t>feasible,</w:t>
      </w:r>
      <w:r>
        <w:rPr>
          <w:bCs/>
        </w:rPr>
        <w:t xml:space="preserve"> and </w:t>
      </w:r>
      <w:r w:rsidR="000D5545">
        <w:rPr>
          <w:bCs/>
        </w:rPr>
        <w:t xml:space="preserve">it sounds reasonable that </w:t>
      </w:r>
      <w:r w:rsidR="009B191C">
        <w:rPr>
          <w:bCs/>
        </w:rPr>
        <w:t>either 3D scans as well as EIRP/EIS spherical coverage and beam correspondence measurement are performed under the same testing conditions.</w:t>
      </w:r>
    </w:p>
    <w:p w14:paraId="229A9C36" w14:textId="50A074A7" w:rsidR="00B72E22" w:rsidRDefault="00B72E22" w:rsidP="3F6C3747">
      <w:pPr>
        <w:rPr>
          <w:b/>
          <w:bCs/>
        </w:rPr>
      </w:pPr>
      <w:r w:rsidRPr="3F6C3747">
        <w:rPr>
          <w:b/>
          <w:bCs/>
        </w:rPr>
        <w:t xml:space="preserve">Proposal </w:t>
      </w:r>
      <w:r w:rsidR="00D03E90">
        <w:rPr>
          <w:b/>
          <w:bCs/>
        </w:rPr>
        <w:t>2</w:t>
      </w:r>
      <w:r w:rsidRPr="3F6C3747">
        <w:rPr>
          <w:b/>
          <w:bCs/>
        </w:rPr>
        <w:t xml:space="preserve">: RAN4 </w:t>
      </w:r>
      <w:r w:rsidR="008D3C14">
        <w:rPr>
          <w:b/>
          <w:bCs/>
        </w:rPr>
        <w:t xml:space="preserve">to </w:t>
      </w:r>
      <w:r w:rsidR="00977DA6">
        <w:rPr>
          <w:b/>
          <w:bCs/>
        </w:rPr>
        <w:t xml:space="preserve">confirm that </w:t>
      </w:r>
      <w:r w:rsidR="004B7FD7">
        <w:rPr>
          <w:b/>
          <w:bCs/>
        </w:rPr>
        <w:t xml:space="preserve">existing </w:t>
      </w:r>
      <w:r w:rsidR="00875D87">
        <w:rPr>
          <w:b/>
          <w:bCs/>
        </w:rPr>
        <w:t xml:space="preserve">EIRP/EIS spherical coverage </w:t>
      </w:r>
      <w:r w:rsidR="004B7FD7">
        <w:rPr>
          <w:b/>
          <w:bCs/>
        </w:rPr>
        <w:t>core</w:t>
      </w:r>
      <w:r w:rsidR="00875D87">
        <w:rPr>
          <w:b/>
          <w:bCs/>
        </w:rPr>
        <w:t xml:space="preserve"> and </w:t>
      </w:r>
      <w:r w:rsidR="004B7FD7">
        <w:rPr>
          <w:b/>
          <w:bCs/>
        </w:rPr>
        <w:t xml:space="preserve">beam correspondence core requirements apply under extreme temperature conditions. </w:t>
      </w:r>
      <w:r w:rsidR="0044480C">
        <w:rPr>
          <w:b/>
          <w:bCs/>
        </w:rPr>
        <w:t xml:space="preserve">Hence changes described in </w:t>
      </w:r>
      <w:r w:rsidR="00860258">
        <w:rPr>
          <w:b/>
          <w:bCs/>
        </w:rPr>
        <w:t>[11]</w:t>
      </w:r>
      <w:r w:rsidR="0044480C">
        <w:rPr>
          <w:b/>
          <w:bCs/>
        </w:rPr>
        <w:t xml:space="preserve"> are agreeable.</w:t>
      </w:r>
    </w:p>
    <w:p w14:paraId="1D61BD99" w14:textId="09D16D49" w:rsidR="00210773" w:rsidRDefault="0044480C" w:rsidP="00210773">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FF17BE">
        <w:rPr>
          <w:b/>
          <w:noProof w:val="0"/>
          <w:lang w:eastAsia="ja-JP"/>
        </w:rPr>
        <w:t>.</w:t>
      </w:r>
      <w:r w:rsidR="00FF17BE">
        <w:rPr>
          <w:b/>
          <w:noProof w:val="0"/>
          <w:lang w:eastAsia="ja-JP"/>
        </w:rPr>
        <w:tab/>
      </w:r>
      <w:r w:rsidR="00210773">
        <w:rPr>
          <w:b/>
          <w:noProof w:val="0"/>
          <w:lang w:eastAsia="ja-JP"/>
        </w:rPr>
        <w:t>Conclusion</w:t>
      </w:r>
    </w:p>
    <w:p w14:paraId="6202FCE8" w14:textId="77777777" w:rsidR="00DD3CC3" w:rsidRDefault="000A2374" w:rsidP="000A2374">
      <w:pPr>
        <w:spacing w:before="120" w:after="120"/>
        <w:rPr>
          <w:rFonts w:eastAsia="MS Mincho"/>
          <w:lang w:val="en-GB"/>
        </w:rPr>
      </w:pPr>
      <w:r>
        <w:rPr>
          <w:rFonts w:eastAsia="MS Mincho"/>
          <w:lang w:val="en-GB"/>
        </w:rPr>
        <w:t xml:space="preserve">This document </w:t>
      </w:r>
      <w:r w:rsidR="00D03E90">
        <w:rPr>
          <w:rFonts w:eastAsia="MS Mincho"/>
          <w:lang w:val="en-GB"/>
        </w:rPr>
        <w:t>proposes a revision on FR2</w:t>
      </w:r>
      <w:r w:rsidR="00DD3CC3">
        <w:rPr>
          <w:rFonts w:eastAsia="MS Mincho"/>
          <w:lang w:val="en-GB"/>
        </w:rPr>
        <w:t xml:space="preserve"> core requirements under extreme temperature conditions as follows:</w:t>
      </w:r>
    </w:p>
    <w:p w14:paraId="24DFE4FE" w14:textId="63F1CCA8" w:rsidR="00B72E22" w:rsidRDefault="00B72E22" w:rsidP="00B72E22">
      <w:pPr>
        <w:spacing w:before="120" w:after="120"/>
        <w:rPr>
          <w:b/>
        </w:rPr>
      </w:pPr>
      <w:r>
        <w:rPr>
          <w:b/>
        </w:rPr>
        <w:t>Observation 1: Unless otherwise stated, all core requirements are applicable either under nominal or extreme environmental testing conditions.</w:t>
      </w:r>
    </w:p>
    <w:p w14:paraId="7D18CE86" w14:textId="77777777" w:rsidR="00860258" w:rsidRDefault="00860258" w:rsidP="00860258">
      <w:pPr>
        <w:spacing w:before="120" w:after="120"/>
        <w:rPr>
          <w:b/>
          <w:bCs/>
        </w:rPr>
      </w:pPr>
      <w:r>
        <w:rPr>
          <w:b/>
          <w:bCs/>
        </w:rPr>
        <w:t>Proposal 1: RAN4 to confirm that, u</w:t>
      </w:r>
      <w:r w:rsidRPr="3F6C3747">
        <w:rPr>
          <w:b/>
          <w:bCs/>
        </w:rPr>
        <w:t>nless otherwise stated, all core requirements are applicable under nominal and extreme environmental testing conditions.</w:t>
      </w:r>
    </w:p>
    <w:p w14:paraId="463CF966" w14:textId="77777777" w:rsidR="00860258" w:rsidRDefault="00860258" w:rsidP="00860258">
      <w:pPr>
        <w:rPr>
          <w:b/>
          <w:bCs/>
        </w:rPr>
      </w:pPr>
      <w:r w:rsidRPr="3F6C3747">
        <w:rPr>
          <w:b/>
          <w:bCs/>
        </w:rPr>
        <w:t xml:space="preserve">Proposal </w:t>
      </w:r>
      <w:r>
        <w:rPr>
          <w:b/>
          <w:bCs/>
        </w:rPr>
        <w:t>2</w:t>
      </w:r>
      <w:r w:rsidRPr="3F6C3747">
        <w:rPr>
          <w:b/>
          <w:bCs/>
        </w:rPr>
        <w:t xml:space="preserve">: RAN4 </w:t>
      </w:r>
      <w:r>
        <w:rPr>
          <w:b/>
          <w:bCs/>
        </w:rPr>
        <w:t>to confirm that existing EIRP/EIS spherical coverage core and beam correspondence core requirements apply under extreme temperature conditions. Hence changes described in [11] are agreeable.</w:t>
      </w:r>
    </w:p>
    <w:p w14:paraId="2175FAD7" w14:textId="1A645A00" w:rsidR="007B7AE3" w:rsidRDefault="0044480C"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4</w:t>
      </w:r>
      <w:r w:rsidR="007B7AE3">
        <w:rPr>
          <w:b/>
          <w:noProof w:val="0"/>
        </w:rPr>
        <w:t>.</w:t>
      </w:r>
      <w:r w:rsidR="007B7AE3">
        <w:rPr>
          <w:b/>
          <w:noProof w:val="0"/>
        </w:rPr>
        <w:tab/>
      </w:r>
      <w:r w:rsidR="007B7AE3">
        <w:rPr>
          <w:b/>
          <w:noProof w:val="0"/>
          <w:lang w:eastAsia="ja-JP"/>
        </w:rPr>
        <w:t>References</w:t>
      </w:r>
    </w:p>
    <w:p w14:paraId="6CCC50E8" w14:textId="30A4C193" w:rsidR="001F2F12" w:rsidRDefault="001F2F12" w:rsidP="001F2F12">
      <w:pPr>
        <w:rPr>
          <w:rFonts w:eastAsia="MS Mincho"/>
        </w:rPr>
      </w:pPr>
      <w:r w:rsidRPr="3F6C3747">
        <w:rPr>
          <w:rFonts w:eastAsia="MS Mincho"/>
        </w:rPr>
        <w:t>[</w:t>
      </w:r>
      <w:r>
        <w:rPr>
          <w:rFonts w:eastAsia="MS Mincho"/>
        </w:rPr>
        <w:t>1</w:t>
      </w:r>
      <w:r w:rsidRPr="3F6C3747">
        <w:rPr>
          <w:rFonts w:eastAsia="MS Mincho"/>
        </w:rPr>
        <w:t>] 38.101-2 v16.</w:t>
      </w:r>
      <w:r>
        <w:rPr>
          <w:rFonts w:eastAsia="MS Mincho"/>
        </w:rPr>
        <w:t>7</w:t>
      </w:r>
      <w:r w:rsidRPr="3F6C3747">
        <w:rPr>
          <w:rFonts w:eastAsia="MS Mincho"/>
        </w:rPr>
        <w:t>.0, “User Equipment (UE) radio transmission and reception; Part 2: Range 2 Standalone”</w:t>
      </w:r>
    </w:p>
    <w:p w14:paraId="25709015" w14:textId="37CDF02B" w:rsidR="004C7F83" w:rsidRDefault="00A11BB5" w:rsidP="00676FEF">
      <w:pPr>
        <w:rPr>
          <w:rFonts w:eastAsia="MS Mincho"/>
        </w:rPr>
      </w:pPr>
      <w:r w:rsidRPr="00BE3E5B">
        <w:rPr>
          <w:rFonts w:eastAsia="MS Mincho"/>
        </w:rPr>
        <w:t>[</w:t>
      </w:r>
      <w:r w:rsidR="00AB5B9C" w:rsidRPr="00BE3E5B">
        <w:rPr>
          <w:rFonts w:eastAsia="MS Mincho"/>
        </w:rPr>
        <w:t>2</w:t>
      </w:r>
      <w:r w:rsidRPr="00BE3E5B">
        <w:rPr>
          <w:rFonts w:eastAsia="MS Mincho"/>
        </w:rPr>
        <w:t xml:space="preserve">] </w:t>
      </w:r>
      <w:r w:rsidR="009F5523" w:rsidRPr="009F5523">
        <w:rPr>
          <w:rFonts w:eastAsia="MS Mincho"/>
        </w:rPr>
        <w:t>R4-2106129</w:t>
      </w:r>
      <w:r w:rsidR="009F5523">
        <w:rPr>
          <w:rFonts w:eastAsia="MS Mincho"/>
        </w:rPr>
        <w:t>, “</w:t>
      </w:r>
      <w:r w:rsidR="004C7F83" w:rsidRPr="004C7F83">
        <w:rPr>
          <w:rFonts w:eastAsia="MS Mincho"/>
        </w:rPr>
        <w:t xml:space="preserve">TP to TR38.884 v0.2.0 on ETC system </w:t>
      </w:r>
      <w:r w:rsidR="004C7F83">
        <w:rPr>
          <w:rFonts w:eastAsia="MS Mincho"/>
        </w:rPr>
        <w:t>“, Vivo, RAN4#98-bis</w:t>
      </w:r>
      <w:r w:rsidR="00BE3E5B">
        <w:rPr>
          <w:rFonts w:eastAsia="MS Mincho"/>
        </w:rPr>
        <w:t>-e</w:t>
      </w:r>
    </w:p>
    <w:p w14:paraId="0CAD34DA" w14:textId="574D5086" w:rsidR="003C5F91" w:rsidRPr="00E27A18" w:rsidRDefault="0043623A" w:rsidP="00676FEF">
      <w:pPr>
        <w:rPr>
          <w:rFonts w:eastAsia="MS Mincho"/>
        </w:rPr>
      </w:pPr>
      <w:r w:rsidRPr="00E27A18">
        <w:rPr>
          <w:rFonts w:eastAsia="MS Mincho"/>
        </w:rPr>
        <w:t>[</w:t>
      </w:r>
      <w:r w:rsidR="00AB5B9C" w:rsidRPr="00E27A18">
        <w:rPr>
          <w:rFonts w:eastAsia="MS Mincho"/>
        </w:rPr>
        <w:t>3</w:t>
      </w:r>
      <w:r w:rsidRPr="00E27A18">
        <w:rPr>
          <w:rFonts w:eastAsia="MS Mincho"/>
        </w:rPr>
        <w:t xml:space="preserve">] </w:t>
      </w:r>
      <w:r w:rsidR="003C5F91" w:rsidRPr="00E27A18">
        <w:rPr>
          <w:rFonts w:eastAsia="MS Mincho"/>
        </w:rPr>
        <w:t>R5-204739, “Preliminary QoQZ and EIRP MU results for ETC testing “, Keysight Technologies, RAN5#88-e</w:t>
      </w:r>
    </w:p>
    <w:p w14:paraId="54A37A24" w14:textId="3F61FE29" w:rsidR="0043623A" w:rsidRPr="00E27A18" w:rsidRDefault="003C5F91" w:rsidP="00676FEF">
      <w:pPr>
        <w:rPr>
          <w:rFonts w:eastAsia="MS Mincho"/>
        </w:rPr>
      </w:pPr>
      <w:r w:rsidRPr="00E27A18">
        <w:rPr>
          <w:rFonts w:eastAsia="MS Mincho"/>
        </w:rPr>
        <w:t>[</w:t>
      </w:r>
      <w:r w:rsidR="00AB5B9C" w:rsidRPr="00E27A18">
        <w:rPr>
          <w:rFonts w:eastAsia="MS Mincho"/>
        </w:rPr>
        <w:t>4</w:t>
      </w:r>
      <w:r w:rsidRPr="00E27A18">
        <w:rPr>
          <w:rFonts w:eastAsia="MS Mincho"/>
        </w:rPr>
        <w:t xml:space="preserve">] </w:t>
      </w:r>
      <w:r w:rsidR="0043623A" w:rsidRPr="00E27A18">
        <w:rPr>
          <w:rFonts w:eastAsia="MS Mincho"/>
        </w:rPr>
        <w:t>R5-206819,</w:t>
      </w:r>
      <w:r w:rsidR="000874BD">
        <w:rPr>
          <w:rFonts w:eastAsia="MS Mincho"/>
        </w:rPr>
        <w:t xml:space="preserve"> </w:t>
      </w:r>
      <w:r w:rsidR="0043623A" w:rsidRPr="00E27A18">
        <w:rPr>
          <w:rFonts w:eastAsia="MS Mincho"/>
        </w:rPr>
        <w:t>“QoQZ and EIRP/EIS MU results for ETC testing”, Keysight Technologies, RAN5#89-e</w:t>
      </w:r>
    </w:p>
    <w:p w14:paraId="710F58E6" w14:textId="4821710C" w:rsidR="0043623A" w:rsidRPr="00E27A18" w:rsidRDefault="0043623A" w:rsidP="00676FEF">
      <w:pPr>
        <w:rPr>
          <w:rFonts w:eastAsia="MS Mincho"/>
        </w:rPr>
      </w:pPr>
      <w:r w:rsidRPr="00E27A18">
        <w:rPr>
          <w:rFonts w:eastAsia="MS Mincho"/>
        </w:rPr>
        <w:t>[</w:t>
      </w:r>
      <w:r w:rsidR="00AB5B9C" w:rsidRPr="00E27A18">
        <w:rPr>
          <w:rFonts w:eastAsia="MS Mincho"/>
        </w:rPr>
        <w:t>5</w:t>
      </w:r>
      <w:r w:rsidRPr="00E27A18">
        <w:rPr>
          <w:rFonts w:eastAsia="MS Mincho"/>
        </w:rPr>
        <w:t>] R5-206821,</w:t>
      </w:r>
      <w:r w:rsidR="000874BD">
        <w:rPr>
          <w:rFonts w:eastAsia="MS Mincho"/>
        </w:rPr>
        <w:t xml:space="preserve"> </w:t>
      </w:r>
      <w:r w:rsidRPr="00E27A18">
        <w:rPr>
          <w:rFonts w:eastAsia="MS Mincho"/>
        </w:rPr>
        <w:t>“CR to 38.521-2 on ETC Testing”, Keysight Technologies, RAN5#89-e</w:t>
      </w:r>
    </w:p>
    <w:p w14:paraId="1A193C19" w14:textId="139C0C17" w:rsidR="0043623A" w:rsidRPr="00E27A18" w:rsidRDefault="0043623A" w:rsidP="00676FEF">
      <w:pPr>
        <w:rPr>
          <w:rFonts w:eastAsia="MS Mincho"/>
        </w:rPr>
      </w:pPr>
      <w:r w:rsidRPr="00E27A18">
        <w:rPr>
          <w:rFonts w:eastAsia="MS Mincho"/>
        </w:rPr>
        <w:t>[</w:t>
      </w:r>
      <w:r w:rsidR="00AB5B9C" w:rsidRPr="00E27A18">
        <w:rPr>
          <w:rFonts w:eastAsia="MS Mincho"/>
        </w:rPr>
        <w:t>6</w:t>
      </w:r>
      <w:r w:rsidRPr="00E27A18">
        <w:rPr>
          <w:rFonts w:eastAsia="MS Mincho"/>
        </w:rPr>
        <w:t>] R5-206835, “CR to 38.903 on ETC Testing”, Keysight Technologies, RAN5#89-e</w:t>
      </w:r>
    </w:p>
    <w:p w14:paraId="58A1C360" w14:textId="4BB76101" w:rsidR="00F63E0D" w:rsidRPr="00E27A18" w:rsidRDefault="003C5F91" w:rsidP="00676FEF">
      <w:pPr>
        <w:rPr>
          <w:rFonts w:eastAsia="MS Mincho"/>
        </w:rPr>
      </w:pPr>
      <w:r w:rsidRPr="00E27A18">
        <w:rPr>
          <w:rFonts w:eastAsia="MS Mincho"/>
        </w:rPr>
        <w:t>[</w:t>
      </w:r>
      <w:r w:rsidR="00AB5B9C" w:rsidRPr="00E27A18">
        <w:rPr>
          <w:rFonts w:eastAsia="MS Mincho"/>
        </w:rPr>
        <w:t>7</w:t>
      </w:r>
      <w:r w:rsidRPr="00E27A18">
        <w:rPr>
          <w:rFonts w:eastAsia="MS Mincho"/>
        </w:rPr>
        <w:t xml:space="preserve">] </w:t>
      </w:r>
      <w:r w:rsidR="00F63E0D" w:rsidRPr="00E27A18">
        <w:rPr>
          <w:rFonts w:eastAsia="MS Mincho"/>
        </w:rPr>
        <w:t>R5-211184, “On ETC MUs”, Keysight Technologies, Rohde &amp; Schwarz, RAN5#90-e</w:t>
      </w:r>
    </w:p>
    <w:p w14:paraId="5ADA2DB7" w14:textId="635EE36A" w:rsidR="003C5F91" w:rsidRPr="00E27A18" w:rsidRDefault="00F63E0D" w:rsidP="00676FEF">
      <w:pPr>
        <w:rPr>
          <w:rFonts w:eastAsia="MS Mincho"/>
        </w:rPr>
      </w:pPr>
      <w:r w:rsidRPr="00E27A18">
        <w:rPr>
          <w:rFonts w:eastAsia="MS Mincho"/>
        </w:rPr>
        <w:t>[</w:t>
      </w:r>
      <w:r w:rsidR="00AB5B9C" w:rsidRPr="00E27A18">
        <w:rPr>
          <w:rFonts w:eastAsia="MS Mincho"/>
        </w:rPr>
        <w:t>8</w:t>
      </w:r>
      <w:r w:rsidRPr="00E27A18">
        <w:rPr>
          <w:rFonts w:eastAsia="MS Mincho"/>
        </w:rPr>
        <w:t xml:space="preserve">] </w:t>
      </w:r>
      <w:r w:rsidR="003C5F91" w:rsidRPr="00E27A18">
        <w:rPr>
          <w:rFonts w:eastAsia="MS Mincho"/>
        </w:rPr>
        <w:t>R5-21</w:t>
      </w:r>
      <w:r w:rsidRPr="00E27A18">
        <w:rPr>
          <w:rFonts w:eastAsia="MS Mincho"/>
        </w:rPr>
        <w:t>1185, “CR to 38.903 on ETC Testing”, Keysight Technologies, RAN5#90-e</w:t>
      </w:r>
    </w:p>
    <w:p w14:paraId="0B7119C2" w14:textId="3FC20C63" w:rsidR="00A40C47" w:rsidRPr="00E27A18" w:rsidRDefault="00A40C47" w:rsidP="00A40C47">
      <w:pPr>
        <w:rPr>
          <w:rFonts w:eastAsia="MS Mincho"/>
        </w:rPr>
      </w:pPr>
      <w:r w:rsidRPr="00E27A18">
        <w:rPr>
          <w:rFonts w:eastAsia="MS Mincho"/>
        </w:rPr>
        <w:t xml:space="preserve">[9] </w:t>
      </w:r>
      <w:r w:rsidR="00FE6AE6" w:rsidRPr="00E27A18">
        <w:rPr>
          <w:rFonts w:eastAsia="MS Mincho"/>
        </w:rPr>
        <w:t>R5-211935</w:t>
      </w:r>
      <w:r w:rsidRPr="00E27A18">
        <w:rPr>
          <w:rFonts w:eastAsia="MS Mincho"/>
        </w:rPr>
        <w:t xml:space="preserve">, “CR to 38.903 on ETC Testing”, Keysight Technologies, RAN5#90-e </w:t>
      </w:r>
    </w:p>
    <w:p w14:paraId="671B244E" w14:textId="51CBA5E0" w:rsidR="009B7C07" w:rsidRDefault="00A40C47" w:rsidP="00676FEF">
      <w:pPr>
        <w:rPr>
          <w:rFonts w:eastAsia="MS Mincho"/>
        </w:rPr>
      </w:pPr>
      <w:r w:rsidRPr="00E27A18">
        <w:rPr>
          <w:rFonts w:eastAsia="MS Mincho"/>
        </w:rPr>
        <w:t xml:space="preserve">[10] </w:t>
      </w:r>
      <w:r w:rsidR="000F05E0" w:rsidRPr="00E27A18">
        <w:rPr>
          <w:rFonts w:eastAsia="MS Mincho"/>
        </w:rPr>
        <w:t xml:space="preserve">R5-211925, </w:t>
      </w:r>
      <w:r w:rsidRPr="00E27A18">
        <w:rPr>
          <w:rFonts w:eastAsia="MS Mincho"/>
        </w:rPr>
        <w:t>“</w:t>
      </w:r>
      <w:r w:rsidR="00FE6AE6" w:rsidRPr="00E27A18">
        <w:rPr>
          <w:rFonts w:eastAsia="MS Mincho"/>
        </w:rPr>
        <w:t>Update of ETC MTSU</w:t>
      </w:r>
      <w:r w:rsidRPr="00E27A18">
        <w:rPr>
          <w:rFonts w:eastAsia="MS Mincho"/>
        </w:rPr>
        <w:t>”</w:t>
      </w:r>
      <w:r w:rsidR="00FE6AE6" w:rsidRPr="00E27A18">
        <w:rPr>
          <w:rFonts w:eastAsia="MS Mincho"/>
        </w:rPr>
        <w:t>, Rohde &amp; Schwarz, RAN5#90</w:t>
      </w:r>
      <w:r w:rsidR="000F05E0" w:rsidRPr="00E27A18">
        <w:rPr>
          <w:rFonts w:eastAsia="MS Mincho"/>
        </w:rPr>
        <w:t>-</w:t>
      </w:r>
      <w:r w:rsidR="00FE6AE6" w:rsidRPr="00E27A18">
        <w:rPr>
          <w:rFonts w:eastAsia="MS Mincho"/>
        </w:rPr>
        <w:t>e</w:t>
      </w:r>
    </w:p>
    <w:p w14:paraId="0CA757CC" w14:textId="431BB53C" w:rsidR="000137D6" w:rsidRDefault="000137D6" w:rsidP="00676FEF">
      <w:pPr>
        <w:rPr>
          <w:rFonts w:eastAsia="MS Mincho"/>
        </w:rPr>
      </w:pPr>
      <w:r>
        <w:rPr>
          <w:rFonts w:eastAsia="MS Mincho"/>
        </w:rPr>
        <w:lastRenderedPageBreak/>
        <w:t>[11] R4-21</w:t>
      </w:r>
      <w:r w:rsidR="00F773D2">
        <w:rPr>
          <w:rFonts w:eastAsia="MS Mincho"/>
        </w:rPr>
        <w:t>11507</w:t>
      </w:r>
      <w:r>
        <w:rPr>
          <w:rFonts w:eastAsia="MS Mincho"/>
        </w:rPr>
        <w:t>, “</w:t>
      </w:r>
      <w:r w:rsidR="00E90A44" w:rsidRPr="00E90A44">
        <w:rPr>
          <w:rFonts w:eastAsia="MS Mincho"/>
        </w:rPr>
        <w:t>FR2 Extreme Temperature Conditions revision</w:t>
      </w:r>
      <w:r w:rsidR="00AD390F">
        <w:rPr>
          <w:rFonts w:eastAsia="MS Mincho"/>
        </w:rPr>
        <w:t xml:space="preserve">”, Keysight </w:t>
      </w:r>
      <w:r w:rsidR="00B90E9C">
        <w:rPr>
          <w:rFonts w:eastAsia="MS Mincho"/>
        </w:rPr>
        <w:t>T</w:t>
      </w:r>
      <w:r w:rsidR="00AD390F">
        <w:rPr>
          <w:rFonts w:eastAsia="MS Mincho"/>
        </w:rPr>
        <w:t>echnologies</w:t>
      </w:r>
      <w:r w:rsidR="00B90E9C">
        <w:rPr>
          <w:rFonts w:eastAsia="MS Mincho"/>
        </w:rPr>
        <w:t>, RAN4#99</w:t>
      </w:r>
    </w:p>
    <w:sectPr w:rsidR="000137D6" w:rsidSect="00256DC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F2336" w14:textId="77777777" w:rsidR="00D97CA0" w:rsidRDefault="009A72FF">
      <w:pPr>
        <w:spacing w:after="0" w:line="240" w:lineRule="auto"/>
      </w:pPr>
      <w:r>
        <w:separator/>
      </w:r>
    </w:p>
  </w:endnote>
  <w:endnote w:type="continuationSeparator" w:id="0">
    <w:p w14:paraId="17BF9C3F" w14:textId="77777777" w:rsidR="00D97CA0" w:rsidRDefault="009A72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5ED1A" w14:textId="77777777" w:rsidR="00D97CA0" w:rsidRDefault="009A72FF">
      <w:pPr>
        <w:spacing w:after="0" w:line="240" w:lineRule="auto"/>
      </w:pPr>
      <w:r>
        <w:separator/>
      </w:r>
    </w:p>
  </w:footnote>
  <w:footnote w:type="continuationSeparator" w:id="0">
    <w:p w14:paraId="4487FDA0" w14:textId="77777777" w:rsidR="00D97CA0" w:rsidRDefault="009A72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9"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2"/>
  </w:num>
  <w:num w:numId="6">
    <w:abstractNumId w:val="1"/>
    <w:lvlOverride w:ilvl="0">
      <w:startOverride w:val="1"/>
    </w:lvlOverride>
  </w:num>
  <w:num w:numId="7">
    <w:abstractNumId w:val="2"/>
  </w:num>
  <w:num w:numId="8">
    <w:abstractNumId w:val="21"/>
  </w:num>
  <w:num w:numId="9">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4"/>
  </w:num>
  <w:num w:numId="15">
    <w:abstractNumId w:val="15"/>
  </w:num>
  <w:num w:numId="16">
    <w:abstractNumId w:val="0"/>
  </w:num>
  <w:num w:numId="17">
    <w:abstractNumId w:val="18"/>
  </w:num>
  <w:num w:numId="18">
    <w:abstractNumId w:val="22"/>
  </w:num>
  <w:num w:numId="19">
    <w:abstractNumId w:val="6"/>
  </w:num>
  <w:num w:numId="20">
    <w:abstractNumId w:val="8"/>
  </w:num>
  <w:num w:numId="21">
    <w:abstractNumId w:val="4"/>
  </w:num>
  <w:num w:numId="22">
    <w:abstractNumId w:val="17"/>
  </w:num>
  <w:num w:numId="2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137D6"/>
    <w:rsid w:val="00016BD8"/>
    <w:rsid w:val="0002236E"/>
    <w:rsid w:val="00024262"/>
    <w:rsid w:val="00026425"/>
    <w:rsid w:val="00030DD5"/>
    <w:rsid w:val="00032FC4"/>
    <w:rsid w:val="00035D73"/>
    <w:rsid w:val="00037A7F"/>
    <w:rsid w:val="00047F15"/>
    <w:rsid w:val="00063BA2"/>
    <w:rsid w:val="00063BB5"/>
    <w:rsid w:val="0006475B"/>
    <w:rsid w:val="00070BB5"/>
    <w:rsid w:val="000874BD"/>
    <w:rsid w:val="000875CD"/>
    <w:rsid w:val="00090668"/>
    <w:rsid w:val="00091307"/>
    <w:rsid w:val="000967DD"/>
    <w:rsid w:val="000A2374"/>
    <w:rsid w:val="000A7F81"/>
    <w:rsid w:val="000B3C93"/>
    <w:rsid w:val="000B4CFF"/>
    <w:rsid w:val="000C4295"/>
    <w:rsid w:val="000C6C9B"/>
    <w:rsid w:val="000D0240"/>
    <w:rsid w:val="000D374A"/>
    <w:rsid w:val="000D5545"/>
    <w:rsid w:val="000E168D"/>
    <w:rsid w:val="000F0466"/>
    <w:rsid w:val="000F05E0"/>
    <w:rsid w:val="000F089A"/>
    <w:rsid w:val="000F15F3"/>
    <w:rsid w:val="0010580D"/>
    <w:rsid w:val="00114B0D"/>
    <w:rsid w:val="0012641B"/>
    <w:rsid w:val="00126709"/>
    <w:rsid w:val="001279DD"/>
    <w:rsid w:val="00130BD3"/>
    <w:rsid w:val="00137331"/>
    <w:rsid w:val="00146758"/>
    <w:rsid w:val="0015240D"/>
    <w:rsid w:val="001607F9"/>
    <w:rsid w:val="00175196"/>
    <w:rsid w:val="0017750E"/>
    <w:rsid w:val="00187383"/>
    <w:rsid w:val="00190ECC"/>
    <w:rsid w:val="001937E8"/>
    <w:rsid w:val="001A6F74"/>
    <w:rsid w:val="001B2B81"/>
    <w:rsid w:val="001D0441"/>
    <w:rsid w:val="001D06A2"/>
    <w:rsid w:val="001D4AF5"/>
    <w:rsid w:val="001E391D"/>
    <w:rsid w:val="001F2F12"/>
    <w:rsid w:val="001F5023"/>
    <w:rsid w:val="00210773"/>
    <w:rsid w:val="00231712"/>
    <w:rsid w:val="00232944"/>
    <w:rsid w:val="00234D44"/>
    <w:rsid w:val="002379EB"/>
    <w:rsid w:val="00253486"/>
    <w:rsid w:val="00256DC2"/>
    <w:rsid w:val="002740AD"/>
    <w:rsid w:val="0027603E"/>
    <w:rsid w:val="00276237"/>
    <w:rsid w:val="00282D48"/>
    <w:rsid w:val="00285EBB"/>
    <w:rsid w:val="00290F3B"/>
    <w:rsid w:val="00291610"/>
    <w:rsid w:val="002A0DF2"/>
    <w:rsid w:val="002A4A15"/>
    <w:rsid w:val="002B4460"/>
    <w:rsid w:val="002B5E66"/>
    <w:rsid w:val="002B6A7F"/>
    <w:rsid w:val="002B6BBE"/>
    <w:rsid w:val="00303FEA"/>
    <w:rsid w:val="003075E8"/>
    <w:rsid w:val="00311CF9"/>
    <w:rsid w:val="00313CC1"/>
    <w:rsid w:val="00313F14"/>
    <w:rsid w:val="003173C7"/>
    <w:rsid w:val="00324D6B"/>
    <w:rsid w:val="00325BD7"/>
    <w:rsid w:val="0033061A"/>
    <w:rsid w:val="00332E89"/>
    <w:rsid w:val="003377F4"/>
    <w:rsid w:val="00342C56"/>
    <w:rsid w:val="00344968"/>
    <w:rsid w:val="0035043F"/>
    <w:rsid w:val="00352B85"/>
    <w:rsid w:val="0035452A"/>
    <w:rsid w:val="00362061"/>
    <w:rsid w:val="00367ACE"/>
    <w:rsid w:val="0037058B"/>
    <w:rsid w:val="00376372"/>
    <w:rsid w:val="00383CE4"/>
    <w:rsid w:val="0039337C"/>
    <w:rsid w:val="0039489D"/>
    <w:rsid w:val="00397E18"/>
    <w:rsid w:val="003B1DFD"/>
    <w:rsid w:val="003C211A"/>
    <w:rsid w:val="003C5E71"/>
    <w:rsid w:val="003C5F91"/>
    <w:rsid w:val="003D2DBB"/>
    <w:rsid w:val="003D5746"/>
    <w:rsid w:val="003D7512"/>
    <w:rsid w:val="003F6D3D"/>
    <w:rsid w:val="004050DD"/>
    <w:rsid w:val="0040673D"/>
    <w:rsid w:val="0041763F"/>
    <w:rsid w:val="0042344C"/>
    <w:rsid w:val="00424024"/>
    <w:rsid w:val="00424C03"/>
    <w:rsid w:val="0043623A"/>
    <w:rsid w:val="0044244F"/>
    <w:rsid w:val="004446F8"/>
    <w:rsid w:val="0044480C"/>
    <w:rsid w:val="0044526F"/>
    <w:rsid w:val="00460137"/>
    <w:rsid w:val="0048381C"/>
    <w:rsid w:val="00496CE1"/>
    <w:rsid w:val="004A7285"/>
    <w:rsid w:val="004B2311"/>
    <w:rsid w:val="004B7FD7"/>
    <w:rsid w:val="004C24A8"/>
    <w:rsid w:val="004C3590"/>
    <w:rsid w:val="004C48FF"/>
    <w:rsid w:val="004C62D2"/>
    <w:rsid w:val="004C7F83"/>
    <w:rsid w:val="004D379D"/>
    <w:rsid w:val="004D6232"/>
    <w:rsid w:val="004D7C70"/>
    <w:rsid w:val="004E52D3"/>
    <w:rsid w:val="004E6542"/>
    <w:rsid w:val="004F2185"/>
    <w:rsid w:val="004F3DFB"/>
    <w:rsid w:val="005010B5"/>
    <w:rsid w:val="00514625"/>
    <w:rsid w:val="0051790C"/>
    <w:rsid w:val="00520F67"/>
    <w:rsid w:val="005252DD"/>
    <w:rsid w:val="00526CCF"/>
    <w:rsid w:val="00526FCB"/>
    <w:rsid w:val="0053085D"/>
    <w:rsid w:val="0053104F"/>
    <w:rsid w:val="0053600F"/>
    <w:rsid w:val="00537775"/>
    <w:rsid w:val="00540AA8"/>
    <w:rsid w:val="005514FB"/>
    <w:rsid w:val="00552D52"/>
    <w:rsid w:val="005560D9"/>
    <w:rsid w:val="00556DC6"/>
    <w:rsid w:val="005601F3"/>
    <w:rsid w:val="00561E5C"/>
    <w:rsid w:val="00564CA0"/>
    <w:rsid w:val="005737A7"/>
    <w:rsid w:val="005828DD"/>
    <w:rsid w:val="00583EAE"/>
    <w:rsid w:val="005A42C2"/>
    <w:rsid w:val="005A6791"/>
    <w:rsid w:val="005B116E"/>
    <w:rsid w:val="005B41B9"/>
    <w:rsid w:val="005C220F"/>
    <w:rsid w:val="005C60DE"/>
    <w:rsid w:val="005D2DF9"/>
    <w:rsid w:val="005D4128"/>
    <w:rsid w:val="005D6773"/>
    <w:rsid w:val="005F647D"/>
    <w:rsid w:val="005F77F9"/>
    <w:rsid w:val="0060306E"/>
    <w:rsid w:val="00605E99"/>
    <w:rsid w:val="00611637"/>
    <w:rsid w:val="006119DE"/>
    <w:rsid w:val="00613812"/>
    <w:rsid w:val="00633B1E"/>
    <w:rsid w:val="00646196"/>
    <w:rsid w:val="00650F6D"/>
    <w:rsid w:val="00654489"/>
    <w:rsid w:val="00665189"/>
    <w:rsid w:val="00676A1F"/>
    <w:rsid w:val="00676FEF"/>
    <w:rsid w:val="006813BE"/>
    <w:rsid w:val="006821B6"/>
    <w:rsid w:val="00692BEC"/>
    <w:rsid w:val="00693E08"/>
    <w:rsid w:val="00697453"/>
    <w:rsid w:val="006A28EC"/>
    <w:rsid w:val="006B161B"/>
    <w:rsid w:val="006B2A44"/>
    <w:rsid w:val="006B42B0"/>
    <w:rsid w:val="006B4761"/>
    <w:rsid w:val="006B6F58"/>
    <w:rsid w:val="006E5010"/>
    <w:rsid w:val="006F2ABC"/>
    <w:rsid w:val="00710B57"/>
    <w:rsid w:val="0071499E"/>
    <w:rsid w:val="00716D10"/>
    <w:rsid w:val="00716F9F"/>
    <w:rsid w:val="00720503"/>
    <w:rsid w:val="00724A73"/>
    <w:rsid w:val="00724C14"/>
    <w:rsid w:val="007257D3"/>
    <w:rsid w:val="00727DA1"/>
    <w:rsid w:val="00732616"/>
    <w:rsid w:val="00745A19"/>
    <w:rsid w:val="0075478B"/>
    <w:rsid w:val="007548CB"/>
    <w:rsid w:val="00764519"/>
    <w:rsid w:val="007663BE"/>
    <w:rsid w:val="007748EF"/>
    <w:rsid w:val="00793DEF"/>
    <w:rsid w:val="007A50A2"/>
    <w:rsid w:val="007A5B88"/>
    <w:rsid w:val="007A7E51"/>
    <w:rsid w:val="007B092D"/>
    <w:rsid w:val="007B5EAD"/>
    <w:rsid w:val="007B625C"/>
    <w:rsid w:val="007B7AE3"/>
    <w:rsid w:val="007C0BD7"/>
    <w:rsid w:val="007C64F5"/>
    <w:rsid w:val="007D0A15"/>
    <w:rsid w:val="007D19D4"/>
    <w:rsid w:val="00800443"/>
    <w:rsid w:val="008017FC"/>
    <w:rsid w:val="00803BA1"/>
    <w:rsid w:val="00807B68"/>
    <w:rsid w:val="00812B39"/>
    <w:rsid w:val="008218DC"/>
    <w:rsid w:val="00823549"/>
    <w:rsid w:val="00826B07"/>
    <w:rsid w:val="00826CA3"/>
    <w:rsid w:val="00830B2A"/>
    <w:rsid w:val="008345A2"/>
    <w:rsid w:val="008402A4"/>
    <w:rsid w:val="0084271D"/>
    <w:rsid w:val="00860258"/>
    <w:rsid w:val="00862431"/>
    <w:rsid w:val="00867BD6"/>
    <w:rsid w:val="008704AE"/>
    <w:rsid w:val="00875D87"/>
    <w:rsid w:val="00875E36"/>
    <w:rsid w:val="00887C23"/>
    <w:rsid w:val="00894419"/>
    <w:rsid w:val="008D3C14"/>
    <w:rsid w:val="008E40ED"/>
    <w:rsid w:val="008E4AAB"/>
    <w:rsid w:val="008F199D"/>
    <w:rsid w:val="00900F41"/>
    <w:rsid w:val="00901678"/>
    <w:rsid w:val="0090283C"/>
    <w:rsid w:val="00902C91"/>
    <w:rsid w:val="009141D3"/>
    <w:rsid w:val="0091503B"/>
    <w:rsid w:val="00930131"/>
    <w:rsid w:val="00941518"/>
    <w:rsid w:val="00953642"/>
    <w:rsid w:val="0095714E"/>
    <w:rsid w:val="009624A6"/>
    <w:rsid w:val="00965D0E"/>
    <w:rsid w:val="00977DA6"/>
    <w:rsid w:val="00986A6E"/>
    <w:rsid w:val="00992BB9"/>
    <w:rsid w:val="009A39DC"/>
    <w:rsid w:val="009A5E5F"/>
    <w:rsid w:val="009A5FF3"/>
    <w:rsid w:val="009A72FF"/>
    <w:rsid w:val="009B191C"/>
    <w:rsid w:val="009B27B3"/>
    <w:rsid w:val="009B57A1"/>
    <w:rsid w:val="009B7C07"/>
    <w:rsid w:val="009C55BE"/>
    <w:rsid w:val="009D5377"/>
    <w:rsid w:val="009E5402"/>
    <w:rsid w:val="009F5523"/>
    <w:rsid w:val="00A11BB5"/>
    <w:rsid w:val="00A172D8"/>
    <w:rsid w:val="00A17B25"/>
    <w:rsid w:val="00A31D2D"/>
    <w:rsid w:val="00A324AE"/>
    <w:rsid w:val="00A36FCD"/>
    <w:rsid w:val="00A40C47"/>
    <w:rsid w:val="00A40DCC"/>
    <w:rsid w:val="00A445E0"/>
    <w:rsid w:val="00A457E7"/>
    <w:rsid w:val="00A46C30"/>
    <w:rsid w:val="00A50219"/>
    <w:rsid w:val="00A52162"/>
    <w:rsid w:val="00A540B3"/>
    <w:rsid w:val="00A60054"/>
    <w:rsid w:val="00A635E1"/>
    <w:rsid w:val="00A63D7D"/>
    <w:rsid w:val="00A65E99"/>
    <w:rsid w:val="00A710D7"/>
    <w:rsid w:val="00AB0088"/>
    <w:rsid w:val="00AB5B9C"/>
    <w:rsid w:val="00AC454D"/>
    <w:rsid w:val="00AD390F"/>
    <w:rsid w:val="00AD67A5"/>
    <w:rsid w:val="00AD79D6"/>
    <w:rsid w:val="00AE0C82"/>
    <w:rsid w:val="00AE14EE"/>
    <w:rsid w:val="00AF5D39"/>
    <w:rsid w:val="00B10F87"/>
    <w:rsid w:val="00B17A61"/>
    <w:rsid w:val="00B24EA4"/>
    <w:rsid w:val="00B37B86"/>
    <w:rsid w:val="00B51446"/>
    <w:rsid w:val="00B564EA"/>
    <w:rsid w:val="00B6084A"/>
    <w:rsid w:val="00B66F3B"/>
    <w:rsid w:val="00B720E3"/>
    <w:rsid w:val="00B72E22"/>
    <w:rsid w:val="00B77A57"/>
    <w:rsid w:val="00B8264B"/>
    <w:rsid w:val="00B83185"/>
    <w:rsid w:val="00B903A9"/>
    <w:rsid w:val="00B90E9C"/>
    <w:rsid w:val="00B93CD6"/>
    <w:rsid w:val="00BB4B1E"/>
    <w:rsid w:val="00BC310F"/>
    <w:rsid w:val="00BD439C"/>
    <w:rsid w:val="00BD5C79"/>
    <w:rsid w:val="00BD7FDD"/>
    <w:rsid w:val="00BE3E5B"/>
    <w:rsid w:val="00BF0382"/>
    <w:rsid w:val="00BF447D"/>
    <w:rsid w:val="00C22014"/>
    <w:rsid w:val="00C3084F"/>
    <w:rsid w:val="00C412CA"/>
    <w:rsid w:val="00C43128"/>
    <w:rsid w:val="00C471D9"/>
    <w:rsid w:val="00C55199"/>
    <w:rsid w:val="00C75BF1"/>
    <w:rsid w:val="00C76B61"/>
    <w:rsid w:val="00C91EEC"/>
    <w:rsid w:val="00C95337"/>
    <w:rsid w:val="00CA026F"/>
    <w:rsid w:val="00CB3868"/>
    <w:rsid w:val="00CC01A7"/>
    <w:rsid w:val="00CC0B1E"/>
    <w:rsid w:val="00CC34B2"/>
    <w:rsid w:val="00CC4F3B"/>
    <w:rsid w:val="00CD520B"/>
    <w:rsid w:val="00CE7C9A"/>
    <w:rsid w:val="00CF1EDE"/>
    <w:rsid w:val="00CF6E46"/>
    <w:rsid w:val="00D0080E"/>
    <w:rsid w:val="00D01344"/>
    <w:rsid w:val="00D038B0"/>
    <w:rsid w:val="00D03E90"/>
    <w:rsid w:val="00D05092"/>
    <w:rsid w:val="00D05518"/>
    <w:rsid w:val="00D101A7"/>
    <w:rsid w:val="00D174F7"/>
    <w:rsid w:val="00D24C5C"/>
    <w:rsid w:val="00D25236"/>
    <w:rsid w:val="00D3077F"/>
    <w:rsid w:val="00D32768"/>
    <w:rsid w:val="00D34B54"/>
    <w:rsid w:val="00D40905"/>
    <w:rsid w:val="00D41571"/>
    <w:rsid w:val="00D54056"/>
    <w:rsid w:val="00D6598E"/>
    <w:rsid w:val="00D67002"/>
    <w:rsid w:val="00D72D12"/>
    <w:rsid w:val="00D92146"/>
    <w:rsid w:val="00D97CA0"/>
    <w:rsid w:val="00DA09F2"/>
    <w:rsid w:val="00DA48F7"/>
    <w:rsid w:val="00DB73BF"/>
    <w:rsid w:val="00DC0281"/>
    <w:rsid w:val="00DC7029"/>
    <w:rsid w:val="00DC75DA"/>
    <w:rsid w:val="00DD3CC3"/>
    <w:rsid w:val="00DD51D7"/>
    <w:rsid w:val="00DE1C32"/>
    <w:rsid w:val="00DE5ECA"/>
    <w:rsid w:val="00DE6C9E"/>
    <w:rsid w:val="00DF6A64"/>
    <w:rsid w:val="00E21C5E"/>
    <w:rsid w:val="00E27A18"/>
    <w:rsid w:val="00E359BE"/>
    <w:rsid w:val="00E37C30"/>
    <w:rsid w:val="00E40C1C"/>
    <w:rsid w:val="00E45FBA"/>
    <w:rsid w:val="00E466E8"/>
    <w:rsid w:val="00E47975"/>
    <w:rsid w:val="00E5318C"/>
    <w:rsid w:val="00E57409"/>
    <w:rsid w:val="00E602B2"/>
    <w:rsid w:val="00E6378B"/>
    <w:rsid w:val="00E6404C"/>
    <w:rsid w:val="00E67EE5"/>
    <w:rsid w:val="00E7391C"/>
    <w:rsid w:val="00E76CE1"/>
    <w:rsid w:val="00E7768D"/>
    <w:rsid w:val="00E81E9C"/>
    <w:rsid w:val="00E90A44"/>
    <w:rsid w:val="00E90E6E"/>
    <w:rsid w:val="00E92114"/>
    <w:rsid w:val="00E93817"/>
    <w:rsid w:val="00E93F49"/>
    <w:rsid w:val="00EB121B"/>
    <w:rsid w:val="00EB2B25"/>
    <w:rsid w:val="00EC393E"/>
    <w:rsid w:val="00EC7A34"/>
    <w:rsid w:val="00ED08C5"/>
    <w:rsid w:val="00EE14B4"/>
    <w:rsid w:val="00EE4DC3"/>
    <w:rsid w:val="00EF4B1C"/>
    <w:rsid w:val="00F05FAD"/>
    <w:rsid w:val="00F13DD9"/>
    <w:rsid w:val="00F20A53"/>
    <w:rsid w:val="00F2160B"/>
    <w:rsid w:val="00F25E7F"/>
    <w:rsid w:val="00F3023F"/>
    <w:rsid w:val="00F35673"/>
    <w:rsid w:val="00F50E35"/>
    <w:rsid w:val="00F55352"/>
    <w:rsid w:val="00F63E0D"/>
    <w:rsid w:val="00F70FC4"/>
    <w:rsid w:val="00F72B16"/>
    <w:rsid w:val="00F773D2"/>
    <w:rsid w:val="00F92069"/>
    <w:rsid w:val="00F92FBB"/>
    <w:rsid w:val="00F9367F"/>
    <w:rsid w:val="00F953A4"/>
    <w:rsid w:val="00FA5AE5"/>
    <w:rsid w:val="00FA7486"/>
    <w:rsid w:val="00FB1666"/>
    <w:rsid w:val="00FB3C53"/>
    <w:rsid w:val="00FC19AB"/>
    <w:rsid w:val="00FC3B1D"/>
    <w:rsid w:val="00FC6492"/>
    <w:rsid w:val="00FD0228"/>
    <w:rsid w:val="00FD16F8"/>
    <w:rsid w:val="00FD3DFE"/>
    <w:rsid w:val="00FD5DD3"/>
    <w:rsid w:val="00FD7D2D"/>
    <w:rsid w:val="00FD7F29"/>
    <w:rsid w:val="00FE02B8"/>
    <w:rsid w:val="00FE0EE8"/>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iPriority w:val="39"/>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iPriority w:val="39"/>
    <w:unhideWhenUsed/>
    <w:rsid w:val="00091307"/>
    <w:pPr>
      <w:keepNext w:val="0"/>
      <w:spacing w:before="0"/>
      <w:ind w:left="851" w:hanging="851"/>
    </w:pPr>
    <w:rPr>
      <w:sz w:val="20"/>
    </w:rPr>
  </w:style>
  <w:style w:type="paragraph" w:styleId="TOC3">
    <w:name w:val="toc 3"/>
    <w:basedOn w:val="TOC2"/>
    <w:autoRedefine/>
    <w:uiPriority w:val="39"/>
    <w:unhideWhenUsed/>
    <w:rsid w:val="00091307"/>
    <w:pPr>
      <w:ind w:left="1134" w:hanging="1134"/>
    </w:pPr>
  </w:style>
  <w:style w:type="paragraph" w:styleId="TOC4">
    <w:name w:val="toc 4"/>
    <w:basedOn w:val="TOC3"/>
    <w:autoRedefine/>
    <w:uiPriority w:val="39"/>
    <w:unhideWhenUsed/>
    <w:rsid w:val="00091307"/>
    <w:pPr>
      <w:ind w:left="1418" w:hanging="1418"/>
    </w:pPr>
  </w:style>
  <w:style w:type="paragraph" w:styleId="TOC5">
    <w:name w:val="toc 5"/>
    <w:basedOn w:val="TOC4"/>
    <w:autoRedefine/>
    <w:uiPriority w:val="39"/>
    <w:unhideWhenUsed/>
    <w:rsid w:val="00091307"/>
    <w:pPr>
      <w:ind w:left="1701" w:hanging="1701"/>
    </w:pPr>
  </w:style>
  <w:style w:type="paragraph" w:styleId="TOC6">
    <w:name w:val="toc 6"/>
    <w:basedOn w:val="TOC5"/>
    <w:next w:val="Normal"/>
    <w:autoRedefine/>
    <w:uiPriority w:val="39"/>
    <w:unhideWhenUsed/>
    <w:rsid w:val="00091307"/>
    <w:pPr>
      <w:ind w:left="1985" w:hanging="1985"/>
    </w:pPr>
  </w:style>
  <w:style w:type="paragraph" w:styleId="TOC7">
    <w:name w:val="toc 7"/>
    <w:basedOn w:val="TOC6"/>
    <w:next w:val="Normal"/>
    <w:autoRedefine/>
    <w:uiPriority w:val="39"/>
    <w:unhideWhenUsed/>
    <w:rsid w:val="00091307"/>
    <w:pPr>
      <w:ind w:left="2268" w:hanging="2268"/>
    </w:pPr>
  </w:style>
  <w:style w:type="paragraph" w:styleId="TOC8">
    <w:name w:val="toc 8"/>
    <w:basedOn w:val="TOC1"/>
    <w:autoRedefine/>
    <w:uiPriority w:val="39"/>
    <w:unhideWhenUsed/>
    <w:rsid w:val="00091307"/>
    <w:pPr>
      <w:spacing w:before="180"/>
      <w:ind w:left="2693" w:hanging="2693"/>
    </w:pPr>
    <w:rPr>
      <w:b/>
    </w:rPr>
  </w:style>
  <w:style w:type="paragraph" w:styleId="TOC9">
    <w:name w:val="toc 9"/>
    <w:basedOn w:val="TOC8"/>
    <w:autoRedefine/>
    <w:uiPriority w:val="39"/>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qFormat/>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qFormat/>
    <w:locked/>
    <w:rsid w:val="00091307"/>
    <w:rPr>
      <w:rFonts w:ascii="Times New Roman" w:eastAsia="Times New Roman" w:hAnsi="Times New Roman"/>
      <w:lang w:val="en-GB" w:eastAsia="en-GB"/>
    </w:rPr>
  </w:style>
  <w:style w:type="paragraph" w:customStyle="1" w:styleId="B1">
    <w:name w:val="B1"/>
    <w:basedOn w:val="List"/>
    <w:link w:val="B1Char"/>
    <w:qFormat/>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uiPriority w:val="99"/>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2.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customXml/itemProps3.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570</Words>
  <Characters>3252</Characters>
  <Application>Microsoft Office Word</Application>
  <DocSecurity>0</DocSecurity>
  <Lines>27</Lines>
  <Paragraphs>7</Paragraphs>
  <ScaleCrop>false</ScaleCrop>
  <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7</cp:revision>
  <dcterms:created xsi:type="dcterms:W3CDTF">2021-05-11T23:16:00Z</dcterms:created>
  <dcterms:modified xsi:type="dcterms:W3CDTF">2021-05-11T23:24:00Z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