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afc"/>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afc"/>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r>
        <w:rPr>
          <w:rFonts w:hint="eastAsia"/>
          <w:i/>
          <w:color w:val="0070C0"/>
          <w:lang w:eastAsia="zh-CN"/>
        </w:rPr>
        <w:t>Agenda  8.6.1</w:t>
      </w:r>
    </w:p>
    <w:p w14:paraId="4B3B18B1" w14:textId="77777777"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DD4E4B">
            <w:pPr>
              <w:rPr>
                <w:rFonts w:ascii="Arial" w:eastAsia="宋体" w:hAnsi="Arial" w:cs="Arial"/>
                <w:b/>
                <w:bCs/>
                <w:color w:val="0000FF"/>
                <w:sz w:val="16"/>
                <w:szCs w:val="16"/>
                <w:u w:val="single"/>
              </w:rPr>
            </w:pPr>
            <w:hyperlink r:id="rId13" w:history="1">
              <w:r w:rsidR="00DB2BCF">
                <w:rPr>
                  <w:rStyle w:val="af6"/>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宋体"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宋体"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宋体"/>
                <w:kern w:val="2"/>
                <w:lang w:val="en-US" w:eastAsia="zh-CN"/>
              </w:rPr>
            </w:pPr>
            <w:r>
              <w:rPr>
                <w:rFonts w:eastAsia="宋体"/>
                <w:kern w:val="2"/>
                <w:lang w:val="en-US" w:eastAsia="zh-CN"/>
              </w:rPr>
              <w:t>T</w:t>
            </w:r>
            <w:r>
              <w:rPr>
                <w:rFonts w:eastAsia="宋体" w:hint="eastAsia"/>
                <w:kern w:val="2"/>
                <w:lang w:val="en-US" w:eastAsia="zh-CN"/>
              </w:rPr>
              <w:t xml:space="preserve">his contribution provides </w:t>
            </w:r>
            <w:r>
              <w:rPr>
                <w:rFonts w:eastAsia="宋体"/>
                <w:kern w:val="2"/>
                <w:lang w:val="en-US" w:eastAsia="zh-CN"/>
              </w:rPr>
              <w:t>updated work plan for enhancement for NR high speed train scenario in FR1</w:t>
            </w:r>
            <w:r>
              <w:rPr>
                <w:rFonts w:eastAsia="宋体" w:hint="eastAsia"/>
                <w:kern w:val="2"/>
                <w:lang w:val="en-US" w:eastAsia="zh-CN"/>
              </w:rPr>
              <w:t>.</w:t>
            </w:r>
          </w:p>
          <w:p w14:paraId="4B3B18BC" w14:textId="77777777" w:rsidR="000B5F13" w:rsidRDefault="000B5F13">
            <w:pPr>
              <w:spacing w:after="0"/>
              <w:rPr>
                <w:rFonts w:ascii="Arial" w:eastAsia="宋体"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2"/>
      </w:pPr>
      <w:r>
        <w:rPr>
          <w:rFonts w:hint="eastAsia"/>
        </w:rPr>
        <w:t>Open issues</w:t>
      </w:r>
      <w:r>
        <w:t xml:space="preserve"> summary</w:t>
      </w:r>
    </w:p>
    <w:p w14:paraId="4B3B18C0" w14:textId="77777777" w:rsidR="000B5F13" w:rsidRPr="000B5F13" w:rsidRDefault="00DD438F">
      <w:pPr>
        <w:pStyle w:val="3"/>
        <w:ind w:left="851" w:hanging="851"/>
        <w:rPr>
          <w:lang w:val="en-US"/>
        </w:rPr>
      </w:pPr>
      <w:r w:rsidRPr="00DD438F">
        <w:rPr>
          <w:lang w:val="en-US"/>
        </w:rPr>
        <w:t>Work plan for FR1 HST demod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14:paraId="4B3B18C2" w14:textId="77777777" w:rsidR="000B5F13" w:rsidRDefault="00DB2BCF">
      <w:pPr>
        <w:spacing w:line="240" w:lineRule="exact"/>
        <w:rPr>
          <w:lang w:eastAsia="zh-CN"/>
        </w:rPr>
      </w:pPr>
      <w:r>
        <w:rPr>
          <w:rFonts w:eastAsia="等线"/>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6"/>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2"/>
        <w:rPr>
          <w:lang w:val="en-US"/>
        </w:rPr>
      </w:pPr>
      <w:r>
        <w:rPr>
          <w:lang w:val="en-US"/>
        </w:rPr>
        <w:lastRenderedPageBreak/>
        <w:t xml:space="preserve">Companies views’ collection for 1st round </w:t>
      </w:r>
    </w:p>
    <w:p w14:paraId="4B3B18C6" w14:textId="77777777" w:rsidR="000B5F13" w:rsidRDefault="00DB2BCF">
      <w:pPr>
        <w:pStyle w:val="3"/>
        <w:ind w:left="851" w:hanging="851"/>
      </w:pPr>
      <w: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2"/>
      </w:pPr>
      <w:r>
        <w:t>Summary</w:t>
      </w:r>
      <w:r>
        <w:rPr>
          <w:rFonts w:hint="eastAsia"/>
        </w:rPr>
        <w:t xml:space="preserve"> for 1st round </w:t>
      </w:r>
    </w:p>
    <w:p w14:paraId="4B3B18D9" w14:textId="77777777" w:rsidR="000B5F13" w:rsidRDefault="00DB2BCF">
      <w:pPr>
        <w:pStyle w:val="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r>
        <w:rPr>
          <w:rFonts w:hint="eastAsia"/>
          <w:i/>
          <w:color w:val="0070C0"/>
          <w:lang w:eastAsia="zh-CN"/>
        </w:rPr>
        <w:t>Agenda  8.6.3.2</w:t>
      </w:r>
    </w:p>
    <w:p w14:paraId="4B3B18E5" w14:textId="77777777"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DD4E4B">
            <w:pPr>
              <w:spacing w:after="0"/>
              <w:rPr>
                <w:rFonts w:ascii="Arial" w:eastAsia="宋体" w:hAnsi="Arial" w:cs="Arial"/>
                <w:b/>
                <w:bCs/>
                <w:color w:val="0000FF"/>
                <w:sz w:val="16"/>
                <w:szCs w:val="16"/>
                <w:u w:val="single"/>
                <w:lang w:val="en-US" w:eastAsia="zh-CN"/>
              </w:rPr>
            </w:pPr>
            <w:hyperlink r:id="rId15" w:history="1">
              <w:r w:rsidR="00DB2BCF">
                <w:rPr>
                  <w:rFonts w:ascii="Arial" w:eastAsia="宋体"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宋体"/>
                <w:bCs/>
                <w:sz w:val="18"/>
                <w:lang w:eastAsia="en-GB"/>
              </w:rPr>
            </w:pPr>
            <w:r>
              <w:rPr>
                <w:rFonts w:eastAsia="宋体"/>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宋体"/>
                <w:bCs/>
                <w:sz w:val="18"/>
                <w:lang w:eastAsia="en-GB"/>
              </w:rPr>
            </w:pPr>
            <w:r>
              <w:rPr>
                <w:rFonts w:eastAsia="宋体"/>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宋体"/>
                <w:bCs/>
                <w:sz w:val="18"/>
                <w:lang w:eastAsia="en-GB"/>
              </w:rPr>
            </w:pPr>
            <w:r>
              <w:rPr>
                <w:rFonts w:eastAsia="宋体"/>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宋体"/>
                <w:bCs/>
                <w:sz w:val="18"/>
                <w:lang w:eastAsia="en-GB"/>
              </w:rPr>
            </w:pPr>
            <w:r>
              <w:rPr>
                <w:rFonts w:eastAsia="宋体"/>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等线"/>
                <w:sz w:val="18"/>
                <w:lang w:val="en-US"/>
              </w:rPr>
            </w:pPr>
            <w:r>
              <w:rPr>
                <w:rFonts w:eastAsia="等线"/>
                <w:sz w:val="18"/>
                <w:lang w:val="en-US"/>
              </w:rPr>
              <w:lastRenderedPageBreak/>
              <w:t>Channel Model for HST-DPS</w:t>
            </w:r>
          </w:p>
          <w:p w14:paraId="4B3B18F3" w14:textId="77777777" w:rsidR="000B5F13" w:rsidRDefault="00DB2BCF">
            <w:pPr>
              <w:spacing w:after="120"/>
              <w:jc w:val="both"/>
              <w:rPr>
                <w:rFonts w:eastAsia="等线"/>
                <w:i/>
                <w:iCs/>
                <w:sz w:val="18"/>
                <w:lang w:val="en-US"/>
              </w:rPr>
            </w:pPr>
            <w:r>
              <w:rPr>
                <w:rFonts w:eastAsia="等线"/>
                <w:bCs/>
                <w:i/>
                <w:iCs/>
                <w:sz w:val="18"/>
                <w:lang w:val="en-US"/>
              </w:rPr>
              <w:t xml:space="preserve">Observation #1: </w:t>
            </w:r>
            <w:r>
              <w:rPr>
                <w:rFonts w:eastAsia="等线"/>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等线"/>
                <w:i/>
                <w:iCs/>
                <w:sz w:val="18"/>
                <w:lang w:val="en-US"/>
              </w:rPr>
            </w:pPr>
            <w:r>
              <w:rPr>
                <w:rFonts w:eastAsia="等线"/>
                <w:bCs/>
                <w:i/>
                <w:iCs/>
                <w:sz w:val="18"/>
                <w:lang w:val="en-US"/>
              </w:rPr>
              <w:t xml:space="preserve">Observation #2: </w:t>
            </w:r>
            <w:r>
              <w:rPr>
                <w:rFonts w:eastAsia="等线"/>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等线"/>
                <w:i/>
                <w:iCs/>
                <w:sz w:val="18"/>
                <w:lang w:val="en-US"/>
              </w:rPr>
            </w:pPr>
            <w:r>
              <w:rPr>
                <w:rFonts w:eastAsia="等线"/>
                <w:bCs/>
                <w:i/>
                <w:iCs/>
                <w:sz w:val="18"/>
                <w:lang w:val="en-US"/>
              </w:rPr>
              <w:t xml:space="preserve">Observation #3: </w:t>
            </w:r>
            <w:r>
              <w:rPr>
                <w:rFonts w:eastAsia="等线"/>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等线"/>
                <w:b/>
                <w:bCs/>
                <w:sz w:val="18"/>
                <w:lang w:val="en-US" w:eastAsia="zh-CN"/>
              </w:rPr>
            </w:pPr>
            <w:r>
              <w:rPr>
                <w:rFonts w:eastAsia="等线"/>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DD4E4B">
            <w:pPr>
              <w:spacing w:after="0"/>
              <w:rPr>
                <w:rFonts w:ascii="Arial" w:eastAsia="宋体" w:hAnsi="Arial" w:cs="Arial"/>
                <w:b/>
                <w:bCs/>
                <w:color w:val="0000FF"/>
                <w:sz w:val="16"/>
                <w:szCs w:val="16"/>
                <w:u w:val="single"/>
                <w:lang w:val="en-US" w:eastAsia="zh-CN"/>
              </w:rPr>
            </w:pPr>
            <w:hyperlink r:id="rId16" w:history="1">
              <w:r w:rsidR="00DB2BCF">
                <w:rPr>
                  <w:rFonts w:ascii="Arial" w:eastAsia="宋体"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宋体"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DD4E4B">
            <w:pPr>
              <w:spacing w:after="0"/>
              <w:rPr>
                <w:rFonts w:ascii="Arial" w:eastAsia="宋体" w:hAnsi="Arial" w:cs="Arial"/>
                <w:b/>
                <w:bCs/>
                <w:color w:val="0000FF"/>
                <w:sz w:val="16"/>
                <w:szCs w:val="16"/>
                <w:u w:val="single"/>
                <w:lang w:val="en-US" w:eastAsia="zh-CN"/>
              </w:rPr>
            </w:pPr>
            <w:hyperlink r:id="rId17" w:history="1">
              <w:r w:rsidR="00DB2BCF">
                <w:rPr>
                  <w:rFonts w:ascii="Arial" w:eastAsia="宋体"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Based on discussion in Rel-16 NR HST WI</w:t>
            </w:r>
            <w:r>
              <w:rPr>
                <w:rFonts w:eastAsia="宋体" w:hint="eastAsia"/>
                <w:bCs/>
                <w:i/>
                <w:iCs/>
                <w:kern w:val="2"/>
                <w:sz w:val="18"/>
                <w:lang w:val="en-US" w:eastAsia="zh-CN"/>
              </w:rPr>
              <w:t>,</w:t>
            </w:r>
            <w:r>
              <w:rPr>
                <w:rFonts w:eastAsia="宋体"/>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宋体"/>
                <w:bCs/>
                <w:i/>
                <w:iCs/>
                <w:kern w:val="2"/>
                <w:sz w:val="18"/>
                <w:lang w:val="en-US" w:eastAsia="zh-CN"/>
              </w:rPr>
            </w:pPr>
            <w:r>
              <w:rPr>
                <w:rFonts w:eastAsia="宋体"/>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宋体"/>
                <w:bCs/>
                <w:i/>
                <w:iCs/>
                <w:kern w:val="2"/>
                <w:sz w:val="18"/>
                <w:lang w:val="en-US" w:eastAsia="zh-CN"/>
              </w:rPr>
            </w:pPr>
            <w:r>
              <w:rPr>
                <w:rFonts w:eastAsia="宋体"/>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等线"/>
                <w:bCs/>
                <w:i/>
                <w:iCs/>
                <w:sz w:val="18"/>
              </w:rPr>
            </w:pPr>
            <w:r>
              <w:rPr>
                <w:rFonts w:eastAsia="等线"/>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1: FDD 15 kHz + TDD 15 kHz CA </w:t>
            </w:r>
            <w:r>
              <w:rPr>
                <w:rFonts w:eastAsia="等线" w:hint="eastAsia"/>
                <w:bCs/>
                <w:i/>
                <w:iCs/>
                <w:sz w:val="18"/>
              </w:rPr>
              <w:t>and</w:t>
            </w:r>
            <w:r>
              <w:rPr>
                <w:rFonts w:eastAsia="等线"/>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等线"/>
                <w:bCs/>
                <w:i/>
                <w:iCs/>
                <w:sz w:val="18"/>
              </w:rPr>
            </w:pPr>
            <w:r>
              <w:rPr>
                <w:rFonts w:eastAsia="等线"/>
                <w:bCs/>
                <w:i/>
                <w:iCs/>
                <w:sz w:val="18"/>
              </w:rPr>
              <w:t xml:space="preserve">Option 2: FDD 15 kHz + TDD 15 kHz CA </w:t>
            </w:r>
            <w:r>
              <w:rPr>
                <w:rFonts w:eastAsia="等线" w:hint="eastAsia"/>
                <w:bCs/>
                <w:i/>
                <w:iCs/>
                <w:sz w:val="18"/>
              </w:rPr>
              <w:t>and</w:t>
            </w:r>
            <w:r>
              <w:rPr>
                <w:rFonts w:eastAsia="等线"/>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等线"/>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DD4E4B">
            <w:pPr>
              <w:spacing w:after="0"/>
              <w:rPr>
                <w:rFonts w:ascii="Arial" w:eastAsia="宋体" w:hAnsi="Arial" w:cs="Arial"/>
                <w:b/>
                <w:bCs/>
                <w:color w:val="0000FF"/>
                <w:sz w:val="16"/>
                <w:szCs w:val="16"/>
                <w:u w:val="single"/>
                <w:lang w:val="en-US" w:eastAsia="zh-CN"/>
              </w:rPr>
            </w:pPr>
            <w:hyperlink r:id="rId18" w:history="1">
              <w:r w:rsidR="00DB2BCF">
                <w:rPr>
                  <w:rFonts w:ascii="Arial" w:eastAsia="宋体"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DD4E4B">
            <w:pPr>
              <w:spacing w:after="0"/>
              <w:rPr>
                <w:rFonts w:ascii="Arial" w:eastAsia="宋体" w:hAnsi="Arial" w:cs="Arial"/>
                <w:b/>
                <w:bCs/>
                <w:color w:val="0000FF"/>
                <w:sz w:val="16"/>
                <w:szCs w:val="16"/>
                <w:u w:val="single"/>
                <w:lang w:val="en-US" w:eastAsia="zh-CN"/>
              </w:rPr>
            </w:pPr>
            <w:hyperlink r:id="rId19" w:history="1">
              <w:r w:rsidR="00DB2BCF">
                <w:rPr>
                  <w:rFonts w:ascii="Arial" w:eastAsia="宋体"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#1: </w:t>
            </w:r>
            <w:r>
              <w:rPr>
                <w:rFonts w:ascii="Arial" w:eastAsia="宋体"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w:t>
            </w:r>
            <w:r>
              <w:rPr>
                <w:rFonts w:ascii="Arial" w:eastAsia="宋体"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#3: </w:t>
            </w:r>
            <w:r>
              <w:rPr>
                <w:rFonts w:ascii="Arial" w:eastAsia="宋体"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w:t>
            </w:r>
            <w:r>
              <w:rPr>
                <w:rFonts w:ascii="Arial" w:eastAsia="宋体"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#5: </w:t>
            </w:r>
            <w:r>
              <w:rPr>
                <w:rFonts w:ascii="Arial" w:eastAsia="宋体"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w:t>
            </w:r>
            <w:r>
              <w:rPr>
                <w:rFonts w:ascii="Arial" w:eastAsia="宋体"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#7: </w:t>
            </w:r>
            <w:r>
              <w:rPr>
                <w:rFonts w:ascii="Arial" w:eastAsia="宋体"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DD4E4B">
            <w:pPr>
              <w:spacing w:after="0"/>
              <w:rPr>
                <w:rFonts w:ascii="Arial" w:eastAsia="宋体" w:hAnsi="Arial" w:cs="Arial"/>
                <w:b/>
                <w:bCs/>
                <w:color w:val="0000FF"/>
                <w:sz w:val="16"/>
                <w:szCs w:val="16"/>
                <w:u w:val="single"/>
                <w:lang w:val="en-US" w:eastAsia="zh-CN"/>
              </w:rPr>
            </w:pPr>
            <w:hyperlink r:id="rId20" w:history="1">
              <w:r w:rsidR="00DB2BCF">
                <w:rPr>
                  <w:rFonts w:ascii="Arial" w:eastAsia="宋体"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Existing HST network assisted signaling and UE capability can cover CA scenario.</w:t>
            </w:r>
          </w:p>
          <w:p w14:paraId="4B3B192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TDD 15 kHz for HST CA requirements.</w:t>
            </w:r>
          </w:p>
          <w:p w14:paraId="4B3B192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Not define release independent for HST CA requirements.</w:t>
            </w:r>
          </w:p>
          <w:p w14:paraId="4B3B192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Do not introduce extra UE capability or network-assisted signaling for SCell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DD4E4B">
            <w:pPr>
              <w:spacing w:after="0"/>
              <w:rPr>
                <w:rFonts w:ascii="Arial" w:eastAsia="宋体" w:hAnsi="Arial" w:cs="Arial"/>
                <w:b/>
                <w:bCs/>
                <w:color w:val="0000FF"/>
                <w:sz w:val="16"/>
                <w:szCs w:val="16"/>
                <w:u w:val="single"/>
                <w:lang w:val="en-US" w:eastAsia="zh-CN"/>
              </w:rPr>
            </w:pPr>
            <w:hyperlink r:id="rId21" w:history="1">
              <w:r w:rsidR="00DB2BCF">
                <w:rPr>
                  <w:rFonts w:ascii="Arial" w:eastAsia="宋体"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宋体"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DD4E4B">
            <w:pPr>
              <w:spacing w:after="0"/>
              <w:rPr>
                <w:rFonts w:ascii="Arial" w:eastAsia="宋体" w:hAnsi="Arial" w:cs="Arial"/>
                <w:b/>
                <w:bCs/>
                <w:color w:val="0000FF"/>
                <w:sz w:val="16"/>
                <w:szCs w:val="16"/>
                <w:u w:val="single"/>
                <w:lang w:val="en-US" w:eastAsia="zh-CN"/>
              </w:rPr>
            </w:pPr>
            <w:hyperlink r:id="rId22" w:history="1">
              <w:r w:rsidR="00DB2BCF">
                <w:rPr>
                  <w:rFonts w:ascii="Arial" w:eastAsia="宋体"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宋体"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DD4E4B">
            <w:pPr>
              <w:spacing w:after="0"/>
              <w:rPr>
                <w:rFonts w:ascii="Arial" w:eastAsia="宋体" w:hAnsi="Arial" w:cs="Arial"/>
                <w:b/>
                <w:bCs/>
                <w:color w:val="0000FF"/>
                <w:sz w:val="16"/>
                <w:szCs w:val="16"/>
                <w:u w:val="single"/>
                <w:lang w:val="en-US" w:eastAsia="zh-CN"/>
              </w:rPr>
            </w:pPr>
            <w:hyperlink r:id="rId23" w:history="1">
              <w:r w:rsidR="00DB2BCF">
                <w:rPr>
                  <w:rFonts w:ascii="Arial" w:eastAsia="宋体"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FDD SCS=15kHz</w:t>
            </w:r>
          </w:p>
          <w:p w14:paraId="4B3B193C"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TDD SCS=30kHz + TDD SCS=30kHz</w:t>
            </w:r>
          </w:p>
          <w:p w14:paraId="4B3B193D" w14:textId="77777777" w:rsidR="000B5F13" w:rsidRDefault="00DB2BCF">
            <w:pPr>
              <w:spacing w:after="0"/>
              <w:rPr>
                <w:rFonts w:ascii="Arial" w:eastAsia="宋体" w:hAnsi="Arial" w:cs="Arial"/>
                <w:sz w:val="16"/>
                <w:szCs w:val="16"/>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ab/>
              <w:t>FDD SCS=15kHz + TDD SCS=30kHz</w:t>
            </w:r>
          </w:p>
          <w:p w14:paraId="4B3B193E"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highSpeedDemodFlag-r16 can be configured for SCell.</w:t>
            </w:r>
          </w:p>
          <w:p w14:paraId="4B3B193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4: Not to introduce a new network-assisted signaling to inform HST-SFN deployment for SCell. </w:t>
            </w:r>
          </w:p>
          <w:p w14:paraId="4B3B1940"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RAN4 confirm Rel-16 UE capability signaling demodulationEnhancement can be applicable for PDSCH CA scenario also.</w:t>
            </w:r>
          </w:p>
          <w:p w14:paraId="4B3B194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DD4E4B">
            <w:pPr>
              <w:spacing w:after="0"/>
              <w:rPr>
                <w:rFonts w:ascii="Arial" w:eastAsia="宋体" w:hAnsi="Arial" w:cs="Arial"/>
                <w:b/>
                <w:bCs/>
                <w:color w:val="0000FF"/>
                <w:sz w:val="16"/>
                <w:szCs w:val="16"/>
                <w:u w:val="single"/>
                <w:lang w:val="en-US" w:eastAsia="zh-CN"/>
              </w:rPr>
            </w:pPr>
            <w:hyperlink r:id="rId24" w:history="1">
              <w:r w:rsidR="00DB2BCF">
                <w:rPr>
                  <w:rFonts w:ascii="Arial" w:eastAsia="宋体"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 It could define CA requirements for DPS scheme.</w:t>
            </w:r>
          </w:p>
          <w:p w14:paraId="4B3B194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 Do not define a new HST network assisted signaling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2"/>
      </w:pPr>
      <w:r>
        <w:rPr>
          <w:rFonts w:hint="eastAsia"/>
        </w:rPr>
        <w:t>Open issues</w:t>
      </w:r>
      <w:r>
        <w:t xml:space="preserve"> summary</w:t>
      </w:r>
    </w:p>
    <w:p w14:paraId="4B3B1954" w14:textId="77777777" w:rsidR="000B5F13" w:rsidRDefault="00DB2BCF">
      <w:pPr>
        <w:pStyle w:val="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57"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Define HST CA requirements for HST-SFN joint transmission</w:t>
      </w:r>
    </w:p>
    <w:p w14:paraId="4B3B1958"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common understanding DPS scheme can achieve better performance compared to joint transmission schemes and no advanced received required for HST deployment.</w:t>
      </w:r>
      <w:r>
        <w:rPr>
          <w:rFonts w:eastAsia="宋体"/>
          <w:color w:val="000000" w:themeColor="text1"/>
          <w:szCs w:val="24"/>
          <w:lang w:val="en-US" w:eastAsia="zh-CN"/>
        </w:rPr>
        <w:t xml:space="preserve"> </w:t>
      </w:r>
    </w:p>
    <w:p w14:paraId="4B3B195A"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 xml:space="preserve">Candidate option for further discussion: </w:t>
      </w:r>
    </w:p>
    <w:p w14:paraId="4B3B195B" w14:textId="77777777" w:rsidR="000B5F13" w:rsidRDefault="00DB2BCF">
      <w:pPr>
        <w:pStyle w:val="afc"/>
        <w:numPr>
          <w:ilvl w:val="2"/>
          <w:numId w:val="8"/>
        </w:numPr>
        <w:spacing w:after="120"/>
        <w:ind w:firstLineChars="0"/>
        <w:rPr>
          <w:rFonts w:eastAsia="宋体"/>
          <w:color w:val="000000" w:themeColor="text1"/>
          <w:szCs w:val="24"/>
          <w:lang w:val="en-US" w:eastAsia="zh-CN"/>
        </w:rPr>
      </w:pPr>
      <w:r>
        <w:rPr>
          <w:rFonts w:eastAsia="宋体"/>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宋体"/>
          <w:color w:val="000000" w:themeColor="text1"/>
          <w:szCs w:val="24"/>
          <w:lang w:val="en-US" w:eastAsia="zh-CN"/>
        </w:rPr>
        <w:t xml:space="preserve"> </w:t>
      </w:r>
    </w:p>
    <w:p w14:paraId="4B3B195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bookmarkStart w:id="0" w:name="_Hlk50386585"/>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bookmarkEnd w:id="0"/>
    </w:p>
    <w:p w14:paraId="4B3B195F" w14:textId="77777777"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p>
    <w:p w14:paraId="4B3B196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64"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afc"/>
        <w:numPr>
          <w:ilvl w:val="1"/>
          <w:numId w:val="8"/>
        </w:numPr>
        <w:overflowPunct/>
        <w:autoSpaceDE/>
        <w:autoSpaceDN/>
        <w:adjustRightInd/>
        <w:spacing w:after="120"/>
        <w:ind w:firstLineChars="0"/>
        <w:textAlignment w:val="auto"/>
        <w:rPr>
          <w:rFonts w:eastAsia="宋体"/>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6A" w14:textId="77777777"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afc"/>
        <w:overflowPunct/>
        <w:autoSpaceDE/>
        <w:autoSpaceDN/>
        <w:adjustRightInd/>
        <w:spacing w:after="120"/>
        <w:ind w:left="1656" w:firstLineChars="0" w:firstLine="0"/>
        <w:textAlignment w:val="auto"/>
        <w:rPr>
          <w:rFonts w:eastAsia="宋体"/>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Agreements </w:t>
      </w:r>
      <w:r>
        <w:rPr>
          <w:rFonts w:eastAsia="宋体" w:hint="eastAsia"/>
          <w:color w:val="000000" w:themeColor="text1"/>
          <w:szCs w:val="24"/>
          <w:lang w:eastAsia="zh-CN"/>
        </w:rPr>
        <w:t>in RAN4#98e meeting:</w:t>
      </w:r>
    </w:p>
    <w:p w14:paraId="4B3B196E" w14:textId="77777777"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afc"/>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afc"/>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afc"/>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afc"/>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afc"/>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afc"/>
        <w:numPr>
          <w:ilvl w:val="1"/>
          <w:numId w:val="8"/>
        </w:numPr>
        <w:overflowPunct/>
        <w:autoSpaceDE/>
        <w:autoSpaceDN/>
        <w:adjustRightInd/>
        <w:spacing w:after="120"/>
        <w:ind w:firstLineChars="0"/>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afc"/>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7B" w14:textId="77777777" w:rsidR="000B5F13" w:rsidRDefault="00DB2BCF">
      <w:pPr>
        <w:pStyle w:val="afc"/>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80"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82"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afc"/>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85"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宋体"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Specify the UE demodulation requirements for CA scenario with the same target speed (up to 500km/h) and carrier frequency (up to 3.6 GHz) as Rel-16 NR HST</w:t>
      </w:r>
      <w:r>
        <w:rPr>
          <w:rFonts w:eastAsia="宋体" w:hint="eastAsia"/>
          <w:color w:val="000000"/>
          <w:lang w:eastAsia="zh-CN"/>
        </w:rPr>
        <w:t xml:space="preserve"> for </w:t>
      </w:r>
      <w:r>
        <w:rPr>
          <w:rFonts w:eastAsia="宋体"/>
          <w:color w:val="000000"/>
          <w:lang w:eastAsia="zh-CN"/>
        </w:rPr>
        <w:t>HST-SFN joint transmission scheme and DPS transmission scheme</w:t>
      </w:r>
      <w:r>
        <w:rPr>
          <w:rFonts w:eastAsia="宋体" w:hint="eastAsia"/>
          <w:color w:val="000000"/>
          <w:lang w:eastAsia="zh-CN"/>
        </w:rPr>
        <w:t>.</w:t>
      </w:r>
      <w:r>
        <w:rPr>
          <w:rFonts w:eastAsia="宋体"/>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Requirements/tests applicability rules should be discussed in order to minimize the testing burden.</w:t>
      </w:r>
    </w:p>
    <w:p w14:paraId="4B3B198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8C"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宋体"/>
          <w:color w:val="000000"/>
          <w:lang w:eastAsia="zh-CN"/>
        </w:rPr>
      </w:pPr>
      <w:r>
        <w:rPr>
          <w:rFonts w:eastAsia="宋体"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宋体"/>
          <w:color w:val="000000"/>
          <w:lang w:eastAsia="zh-CN"/>
        </w:rPr>
      </w:pPr>
      <w:r>
        <w:rPr>
          <w:rFonts w:eastAsia="宋体"/>
          <w:color w:val="000000"/>
          <w:lang w:eastAsia="zh-CN"/>
        </w:rPr>
        <w:t>Define applicability rule that UE has passed DPS CA requirements can skip SFN CA requirements.</w:t>
      </w:r>
    </w:p>
    <w:p w14:paraId="4B3B199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94"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97"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99"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A5"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3"/>
        <w:ind w:left="851" w:hanging="851"/>
        <w:rPr>
          <w:lang w:val="en-US"/>
        </w:rPr>
      </w:pPr>
      <w:r>
        <w:rPr>
          <w:lang w:val="en-US"/>
        </w:rPr>
        <w:t>UE capability and network-assisted signalling</w:t>
      </w:r>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9A9"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AD"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14:paraId="4B3B19B2"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9B7"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afc"/>
        <w:overflowPunct/>
        <w:autoSpaceDE/>
        <w:autoSpaceDN/>
        <w:adjustRightInd/>
        <w:spacing w:after="120"/>
        <w:ind w:left="5464" w:firstLineChars="0" w:firstLine="0"/>
        <w:textAlignment w:val="auto"/>
        <w:rPr>
          <w:lang w:eastAsia="zh-CN"/>
        </w:rPr>
      </w:pPr>
    </w:p>
    <w:p w14:paraId="4B3B19B9" w14:textId="77777777" w:rsidR="000B5F13" w:rsidRDefault="00DB2BCF">
      <w:pPr>
        <w:pStyle w:val="2"/>
        <w:rPr>
          <w:lang w:val="en-US"/>
        </w:rPr>
      </w:pPr>
      <w:r>
        <w:rPr>
          <w:lang w:val="en-US"/>
        </w:rPr>
        <w:lastRenderedPageBreak/>
        <w:t xml:space="preserve">Companies views’ collection for 1st round </w:t>
      </w:r>
    </w:p>
    <w:p w14:paraId="4B3B19BA" w14:textId="77777777" w:rsidR="000B5F13" w:rsidRDefault="00DB2BCF">
      <w:pPr>
        <w:pStyle w:val="3"/>
        <w:ind w:left="851" w:hanging="851"/>
      </w:pPr>
      <w: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afc"/>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afc"/>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afc"/>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14:paraId="4B3B19DB"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宋体"/>
                <w:color w:val="000000"/>
                <w:lang w:eastAsia="zh-CN"/>
              </w:rPr>
              <w:t>Rel-17 DPS CA tests can be skipped.</w:t>
            </w:r>
          </w:p>
          <w:p w14:paraId="4B3B1A17"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3"/>
        <w:ind w:left="851" w:hanging="851"/>
      </w:pPr>
      <w:r>
        <w:t>CRs/TPs comments collection</w:t>
      </w:r>
    </w:p>
    <w:tbl>
      <w:tblPr>
        <w:tblStyle w:val="af9"/>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宋体"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宋体" w:hAnsi="Arial" w:cs="Arial"/>
                <w:sz w:val="16"/>
                <w:szCs w:val="16"/>
                <w:lang w:val="en-US" w:eastAsia="zh-CN"/>
              </w:rPr>
            </w:pPr>
          </w:p>
          <w:p w14:paraId="4B3B1A79" w14:textId="77777777" w:rsidR="000B5F13" w:rsidRDefault="000B5F13">
            <w:pPr>
              <w:spacing w:after="0"/>
              <w:rPr>
                <w:rFonts w:ascii="Arial" w:eastAsia="宋体"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2"/>
      </w:pPr>
      <w:r>
        <w:t>Summary</w:t>
      </w:r>
      <w:r>
        <w:rPr>
          <w:rFonts w:hint="eastAsia"/>
        </w:rPr>
        <w:t xml:space="preserve"> for 1st round </w:t>
      </w:r>
    </w:p>
    <w:p w14:paraId="4B3B1A84" w14:textId="77777777" w:rsidR="000B5F13" w:rsidRDefault="00DB2BCF">
      <w:pPr>
        <w:pStyle w:val="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afc"/>
              <w:numPr>
                <w:ilvl w:val="1"/>
                <w:numId w:val="8"/>
              </w:numPr>
              <w:overflowPunct/>
              <w:autoSpaceDE/>
              <w:autoSpaceDN/>
              <w:adjustRightInd/>
              <w:spacing w:after="120"/>
              <w:ind w:left="471" w:firstLineChars="0"/>
              <w:textAlignment w:val="auto"/>
              <w:rPr>
                <w:rFonts w:eastAsia="宋体"/>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afc"/>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2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Pr>
                <w:rFonts w:eastAsia="等线"/>
                <w:color w:val="000000"/>
                <w:lang w:val="en-US" w:eastAsia="zh-CN"/>
              </w:rPr>
              <w:t xml:space="preserve">Option </w:t>
            </w:r>
            <w:r>
              <w:rPr>
                <w:rFonts w:eastAsiaTheme="minorEastAsia" w:hint="eastAsia"/>
                <w:color w:val="000000" w:themeColor="text1"/>
                <w:lang w:val="en-US" w:eastAsia="zh-CN"/>
              </w:rPr>
              <w:t>3 (CMCC)</w:t>
            </w:r>
            <w:r>
              <w:rPr>
                <w:rFonts w:eastAsia="等线"/>
                <w:color w:val="000000"/>
                <w:lang w:val="en-US" w:eastAsia="zh-CN"/>
              </w:rPr>
              <w:t xml:space="preserve">: FDD 15 kHz + TDD 15 kHz CA </w:t>
            </w:r>
            <w:r>
              <w:rPr>
                <w:rFonts w:eastAsia="等线" w:hint="eastAsia"/>
                <w:color w:val="000000"/>
                <w:lang w:val="en-US" w:eastAsia="zh-CN"/>
              </w:rPr>
              <w:t>and</w:t>
            </w:r>
            <w:r>
              <w:rPr>
                <w:rFonts w:eastAsia="等线"/>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afc"/>
              <w:numPr>
                <w:ilvl w:val="1"/>
                <w:numId w:val="8"/>
              </w:numPr>
              <w:overflowPunct/>
              <w:autoSpaceDE/>
              <w:autoSpaceDN/>
              <w:adjustRightInd/>
              <w:spacing w:after="120"/>
              <w:ind w:left="471" w:firstLineChars="0" w:hanging="283"/>
              <w:textAlignment w:val="auto"/>
              <w:rPr>
                <w:rFonts w:eastAsia="等线"/>
                <w:color w:val="000000"/>
                <w:highlight w:val="yellow"/>
                <w:lang w:val="en-US" w:eastAsia="zh-CN"/>
              </w:rPr>
            </w:pPr>
            <w:r w:rsidRPr="00BD22C5">
              <w:rPr>
                <w:rFonts w:eastAsia="等线"/>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等线"/>
                <w:color w:val="000000"/>
                <w:highlight w:val="yellow"/>
                <w:lang w:val="en-US" w:eastAsia="zh-CN"/>
              </w:rPr>
              <w:t xml:space="preserve">: </w:t>
            </w:r>
            <w:r w:rsidR="0033529D">
              <w:rPr>
                <w:rFonts w:eastAsia="等线" w:hint="eastAsia"/>
                <w:color w:val="000000"/>
                <w:highlight w:val="yellow"/>
                <w:lang w:val="en-US" w:eastAsia="zh-CN"/>
              </w:rPr>
              <w:t xml:space="preserve">Do not introduce requirements in HST for </w:t>
            </w:r>
            <w:r w:rsidRPr="00BD22C5">
              <w:rPr>
                <w:rFonts w:eastAsia="等线"/>
                <w:color w:val="000000"/>
                <w:highlight w:val="yellow"/>
                <w:lang w:val="en-US" w:eastAsia="zh-CN"/>
              </w:rPr>
              <w:t xml:space="preserve">FDD 15 kHz + TDD 15 kHz CA </w:t>
            </w:r>
            <w:r w:rsidRPr="00BD22C5">
              <w:rPr>
                <w:rFonts w:eastAsia="等线" w:hint="eastAsia"/>
                <w:color w:val="000000"/>
                <w:highlight w:val="yellow"/>
                <w:lang w:val="en-US" w:eastAsia="zh-CN"/>
              </w:rPr>
              <w:t>and</w:t>
            </w:r>
            <w:r w:rsidRPr="00BD22C5">
              <w:rPr>
                <w:rFonts w:eastAsia="等线"/>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afc"/>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宋体"/>
                <w:strike/>
                <w:color w:val="000000"/>
                <w:lang w:eastAsia="zh-CN"/>
              </w:rPr>
            </w:pPr>
            <w:r w:rsidRPr="00A765DB">
              <w:rPr>
                <w:rFonts w:eastAsia="宋体"/>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宋体"/>
                <w:color w:val="000000"/>
                <w:lang w:eastAsia="zh-CN"/>
              </w:rPr>
            </w:pPr>
            <w:r>
              <w:rPr>
                <w:rFonts w:eastAsia="宋体" w:hint="eastAsia"/>
                <w:color w:val="000000"/>
                <w:lang w:eastAsia="zh-CN"/>
              </w:rPr>
              <w:t>Option 4 (Huawei):</w:t>
            </w:r>
          </w:p>
          <w:p w14:paraId="4B3B1AAE" w14:textId="77777777" w:rsidR="0076399C" w:rsidRPr="00FC009E" w:rsidRDefault="0076399C" w:rsidP="0076399C">
            <w:pPr>
              <w:numPr>
                <w:ilvl w:val="2"/>
                <w:numId w:val="8"/>
              </w:numPr>
              <w:jc w:val="both"/>
              <w:rPr>
                <w:rFonts w:eastAsia="宋体"/>
                <w:color w:val="000000"/>
                <w:lang w:eastAsia="zh-CN"/>
              </w:rPr>
            </w:pPr>
            <w:r>
              <w:rPr>
                <w:rFonts w:eastAsia="宋体"/>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等线"/>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等线"/>
                <w:color w:val="000000"/>
                <w:highlight w:val="yellow"/>
                <w:lang w:val="en-US" w:eastAsia="zh-CN"/>
              </w:rPr>
              <w:t xml:space="preserve">: </w:t>
            </w:r>
            <w:r w:rsidR="009671F3" w:rsidRPr="00BC2551">
              <w:rPr>
                <w:rFonts w:eastAsia="等线"/>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afc"/>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afc"/>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afc"/>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afc"/>
              <w:numPr>
                <w:ilvl w:val="1"/>
                <w:numId w:val="9"/>
              </w:numPr>
              <w:spacing w:after="120"/>
              <w:ind w:firstLineChars="0"/>
              <w:rPr>
                <w:rFonts w:eastAsia="Yu Mincho"/>
                <w:bCs/>
                <w:color w:val="000000"/>
                <w:lang w:eastAsia="zh-CN"/>
              </w:rPr>
            </w:pPr>
            <w:r>
              <w:rPr>
                <w:rFonts w:eastAsia="宋体"/>
                <w:color w:val="000000"/>
                <w:lang w:eastAsia="zh-CN"/>
              </w:rPr>
              <w:t>Rel-17 DPS CA tests can be skipped.</w:t>
            </w:r>
          </w:p>
          <w:p w14:paraId="4B3B1ABE"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afc"/>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afc"/>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14:paraId="4B3B1AD2" w14:textId="77777777" w:rsidR="00BC41FE"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afc"/>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afc"/>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afc"/>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等线"/>
                <w:b/>
                <w:bCs/>
                <w:highlight w:val="yellow"/>
                <w:lang w:val="en-US" w:eastAsia="zh-CN"/>
              </w:rPr>
            </w:pPr>
            <w:r w:rsidRPr="00BC41FE">
              <w:rPr>
                <w:rFonts w:eastAsia="等线" w:hint="eastAsia"/>
                <w:b/>
                <w:bCs/>
                <w:highlight w:val="yellow"/>
                <w:lang w:val="en-US" w:eastAsia="zh-CN"/>
              </w:rPr>
              <w:t>Recommended WF for 2</w:t>
            </w:r>
            <w:r w:rsidRPr="00BC41FE">
              <w:rPr>
                <w:rFonts w:eastAsia="等线" w:hint="eastAsia"/>
                <w:b/>
                <w:bCs/>
                <w:highlight w:val="yellow"/>
                <w:vertAlign w:val="superscript"/>
                <w:lang w:val="en-US" w:eastAsia="zh-CN"/>
              </w:rPr>
              <w:t>nd</w:t>
            </w:r>
            <w:r w:rsidRPr="00BC41FE">
              <w:rPr>
                <w:rFonts w:eastAsia="等线"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2"/>
        <w:rPr>
          <w:lang w:val="en-US"/>
        </w:rPr>
      </w:pPr>
      <w:r>
        <w:rPr>
          <w:lang w:val="en-US"/>
        </w:rPr>
        <w:t>Discussion on 2nd round (if applicable)</w:t>
      </w:r>
    </w:p>
    <w:p w14:paraId="4B3B1AF9" w14:textId="77777777" w:rsidR="000B5F13" w:rsidRDefault="00DB2BCF">
      <w:pPr>
        <w:pStyle w:val="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等线"/>
          <w:color w:val="000000"/>
          <w:lang w:val="en-US" w:eastAsia="zh-CN"/>
        </w:rPr>
        <w:t xml:space="preserve">: </w:t>
      </w:r>
      <w:r w:rsidRPr="00014E90">
        <w:rPr>
          <w:rFonts w:eastAsia="等线" w:hint="eastAsia"/>
          <w:color w:val="000000"/>
          <w:lang w:val="en-US" w:eastAsia="zh-CN"/>
        </w:rPr>
        <w:t xml:space="preserve">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afc"/>
        <w:numPr>
          <w:ilvl w:val="1"/>
          <w:numId w:val="8"/>
        </w:numPr>
        <w:overflowPunct/>
        <w:autoSpaceDE/>
        <w:autoSpaceDN/>
        <w:adjustRightInd/>
        <w:spacing w:after="120"/>
        <w:ind w:left="471" w:firstLineChars="0" w:hanging="283"/>
        <w:textAlignment w:val="auto"/>
        <w:rPr>
          <w:rFonts w:eastAsia="等线"/>
          <w:color w:val="000000"/>
          <w:lang w:val="en-US" w:eastAsia="zh-CN"/>
        </w:rPr>
      </w:pPr>
      <w:r w:rsidRPr="00014E90">
        <w:rPr>
          <w:rFonts w:eastAsia="等线"/>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等线"/>
          <w:color w:val="000000"/>
          <w:lang w:val="en-US" w:eastAsia="zh-CN"/>
        </w:rPr>
        <w:t xml:space="preserve">: </w:t>
      </w:r>
      <w:r w:rsidRPr="00014E90">
        <w:rPr>
          <w:rFonts w:eastAsia="等线" w:hint="eastAsia"/>
          <w:color w:val="000000"/>
          <w:lang w:val="en-US" w:eastAsia="zh-CN"/>
        </w:rPr>
        <w:t xml:space="preserve">Do not introduce requirements in HST for </w:t>
      </w:r>
      <w:r w:rsidRPr="00014E90">
        <w:rPr>
          <w:rFonts w:eastAsia="等线"/>
          <w:color w:val="000000"/>
          <w:lang w:val="en-US" w:eastAsia="zh-CN"/>
        </w:rPr>
        <w:t xml:space="preserve">FDD 15 kHz + TDD 15 kHz CA </w:t>
      </w:r>
      <w:r w:rsidRPr="00014E90">
        <w:rPr>
          <w:rFonts w:eastAsia="等线" w:hint="eastAsia"/>
          <w:color w:val="000000"/>
          <w:lang w:val="en-US" w:eastAsia="zh-CN"/>
        </w:rPr>
        <w:t>and</w:t>
      </w:r>
      <w:r w:rsidRPr="00014E90">
        <w:rPr>
          <w:rFonts w:eastAsia="等线"/>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等线"/>
          <w:color w:val="000000"/>
          <w:lang w:eastAsia="zh-CN"/>
        </w:rPr>
      </w:pPr>
      <w:r w:rsidRPr="00014E90">
        <w:rPr>
          <w:rFonts w:eastAsia="等线"/>
          <w:color w:val="000000"/>
          <w:lang w:val="en-US" w:eastAsia="zh-CN"/>
        </w:rPr>
        <w:t xml:space="preserve">Option </w:t>
      </w:r>
      <w:r w:rsidRPr="00014E90">
        <w:rPr>
          <w:rFonts w:hint="eastAsia"/>
          <w:color w:val="000000" w:themeColor="text1"/>
          <w:lang w:val="en-US" w:eastAsia="zh-CN"/>
        </w:rPr>
        <w:t>2</w:t>
      </w:r>
      <w:r w:rsidRPr="00014E90">
        <w:rPr>
          <w:rFonts w:eastAsia="等线"/>
          <w:color w:val="000000"/>
          <w:lang w:val="en-US" w:eastAsia="zh-CN"/>
        </w:rPr>
        <w:t xml:space="preserve">: </w:t>
      </w:r>
      <w:r w:rsidRPr="00014E90">
        <w:rPr>
          <w:rFonts w:eastAsia="等线"/>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afc"/>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14:paraId="4B3B1B13" w14:textId="77777777" w:rsidR="00E024FF" w:rsidRPr="00127B69" w:rsidRDefault="00E024FF" w:rsidP="00127B69">
      <w:pPr>
        <w:pStyle w:val="afc"/>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afc"/>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afc"/>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宋体" w:hint="eastAsia"/>
          <w:color w:val="000000" w:themeColor="text1"/>
          <w:szCs w:val="24"/>
          <w:lang w:eastAsia="zh-CN"/>
        </w:rPr>
        <w:t>:</w:t>
      </w:r>
    </w:p>
    <w:p w14:paraId="4B3B1B1D"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afc"/>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ins w:id="17" w:author="Kazuyoshi Uesaka" w:date="2021-04-15T22:58:00Z">
              <w:r>
                <w:rPr>
                  <w:lang w:eastAsia="zh-CN"/>
                </w:rPr>
                <w:lastRenderedPageBreak/>
                <w:t>Also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r w:rsidR="00CC7B07" w14:paraId="11E0B043" w14:textId="77777777">
        <w:trPr>
          <w:ins w:id="23" w:author="Artyom Putilin" w:date="2021-04-15T17:14:00Z"/>
        </w:trPr>
        <w:tc>
          <w:tcPr>
            <w:tcW w:w="1538" w:type="dxa"/>
          </w:tcPr>
          <w:p w14:paraId="19068BB5" w14:textId="72C1572F" w:rsidR="00CC7B07" w:rsidRDefault="00CC7B07" w:rsidP="00BB0728">
            <w:pPr>
              <w:spacing w:after="120"/>
              <w:rPr>
                <w:ins w:id="24" w:author="Artyom Putilin" w:date="2021-04-15T17:14:00Z"/>
                <w:b/>
                <w:bCs/>
                <w:color w:val="0070C0"/>
                <w:lang w:val="en-US" w:eastAsia="zh-CN"/>
              </w:rPr>
            </w:pPr>
            <w:ins w:id="25"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26" w:author="Artyom Putilin" w:date="2021-04-15T17:14:00Z"/>
                <w:b/>
                <w:color w:val="000000" w:themeColor="text1"/>
                <w:u w:val="single"/>
                <w:lang w:eastAsia="zh-CN"/>
              </w:rPr>
            </w:pPr>
            <w:ins w:id="27"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28" w:author="Artyom Putilin" w:date="2021-04-15T17:14:00Z"/>
                <w:color w:val="0070C0"/>
                <w:u w:val="single"/>
                <w:lang w:val="en-US" w:eastAsia="zh-CN"/>
              </w:rPr>
            </w:pPr>
            <w:ins w:id="29"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0" w:author="Artyom Putilin" w:date="2021-04-15T17:14:00Z"/>
                <w:b/>
                <w:color w:val="000000" w:themeColor="text1"/>
                <w:u w:val="single"/>
                <w:lang w:eastAsia="zh-CN"/>
              </w:rPr>
            </w:pPr>
          </w:p>
          <w:p w14:paraId="568C0956" w14:textId="77777777" w:rsidR="000F4EEB" w:rsidRDefault="000F4EEB" w:rsidP="000F4EEB">
            <w:pPr>
              <w:rPr>
                <w:ins w:id="31" w:author="Artyom Putilin" w:date="2021-04-15T17:14:00Z"/>
                <w:b/>
                <w:color w:val="000000" w:themeColor="text1"/>
                <w:u w:val="single"/>
                <w:lang w:eastAsia="zh-CN"/>
              </w:rPr>
            </w:pPr>
            <w:ins w:id="32"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33" w:author="Artyom Putilin" w:date="2021-04-15T17:14:00Z"/>
                <w:bCs/>
                <w:color w:val="0070C0"/>
                <w:lang w:val="en-US" w:eastAsia="zh-CN"/>
              </w:rPr>
            </w:pPr>
            <w:ins w:id="34" w:author="Artyom Putilin" w:date="2021-04-15T17:14:00Z">
              <w:r>
                <w:rPr>
                  <w:color w:val="000000" w:themeColor="text1"/>
                  <w:lang w:val="en-US" w:eastAsia="zh-CN"/>
                </w:rPr>
                <w:t>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paper work since we can expect that all UEs will choose to pass easier requirements if we go with Option 2.</w:t>
              </w:r>
            </w:ins>
          </w:p>
          <w:p w14:paraId="53858BFF" w14:textId="77777777" w:rsidR="000F4EEB" w:rsidRPr="0049643A" w:rsidRDefault="000F4EEB" w:rsidP="000F4EEB">
            <w:pPr>
              <w:rPr>
                <w:ins w:id="35" w:author="Artyom Putilin" w:date="2021-04-15T17:14:00Z"/>
                <w:bCs/>
                <w:color w:val="0070C0"/>
                <w:lang w:val="en-US" w:eastAsia="zh-CN"/>
              </w:rPr>
            </w:pPr>
          </w:p>
          <w:p w14:paraId="4558A5E1" w14:textId="77777777" w:rsidR="000F4EEB" w:rsidRDefault="000F4EEB" w:rsidP="000F4EEB">
            <w:pPr>
              <w:rPr>
                <w:ins w:id="36" w:author="Artyom Putilin" w:date="2021-04-15T17:14:00Z"/>
                <w:b/>
                <w:color w:val="000000" w:themeColor="text1"/>
                <w:u w:val="single"/>
                <w:lang w:eastAsia="zh-CN"/>
              </w:rPr>
            </w:pPr>
            <w:ins w:id="37"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38" w:author="Artyom Putilin" w:date="2021-04-15T17:14:00Z"/>
                <w:bCs/>
                <w:color w:val="000000" w:themeColor="text1"/>
                <w:lang w:val="en-US" w:eastAsia="zh-CN"/>
              </w:rPr>
            </w:pPr>
            <w:ins w:id="39"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demod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0" w:author="Artyom Putilin" w:date="2021-04-15T17:14:00Z"/>
                <w:bCs/>
                <w:color w:val="000000" w:themeColor="text1"/>
                <w:lang w:val="en-US" w:eastAsia="zh-CN"/>
              </w:rPr>
            </w:pPr>
          </w:p>
          <w:p w14:paraId="34AF059C" w14:textId="77777777" w:rsidR="000F4EEB" w:rsidRPr="00EC41C4" w:rsidRDefault="000F4EEB" w:rsidP="000F4EEB">
            <w:pPr>
              <w:rPr>
                <w:ins w:id="41" w:author="Artyom Putilin" w:date="2021-04-15T17:14:00Z"/>
                <w:b/>
                <w:color w:val="000000" w:themeColor="text1"/>
                <w:u w:val="single"/>
                <w:lang w:eastAsia="zh-CN"/>
              </w:rPr>
            </w:pPr>
            <w:ins w:id="42" w:author="Artyom Putilin" w:date="2021-04-15T17:14:00Z">
              <w:r w:rsidRPr="00EC41C4">
                <w:rPr>
                  <w:rFonts w:hint="eastAsia"/>
                  <w:b/>
                  <w:color w:val="000000" w:themeColor="text1"/>
                  <w:u w:val="single"/>
                  <w:lang w:eastAsia="zh-CN"/>
                </w:rPr>
                <w:t>Issue 2-4-1: UE capability and network-assisted signalling</w:t>
              </w:r>
            </w:ins>
          </w:p>
          <w:p w14:paraId="397712A1" w14:textId="77777777" w:rsidR="000F4EEB" w:rsidRDefault="000F4EEB" w:rsidP="000F4EEB">
            <w:pPr>
              <w:rPr>
                <w:ins w:id="43" w:author="Artyom Putilin" w:date="2021-04-15T17:14:00Z"/>
                <w:bCs/>
                <w:color w:val="0070C0"/>
                <w:lang w:val="en-US" w:eastAsia="zh-CN"/>
              </w:rPr>
            </w:pPr>
            <w:ins w:id="44"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45" w:author="Artyom Putilin" w:date="2021-04-15T17:14:00Z"/>
                <w:bCs/>
                <w:color w:val="0070C0"/>
                <w:lang w:val="en-US" w:eastAsia="zh-CN"/>
              </w:rPr>
            </w:pPr>
          </w:p>
          <w:p w14:paraId="69AA9957" w14:textId="77777777" w:rsidR="000F4EEB" w:rsidRDefault="000F4EEB" w:rsidP="000F4EEB">
            <w:pPr>
              <w:rPr>
                <w:ins w:id="46" w:author="Artyom Putilin" w:date="2021-04-15T17:14:00Z"/>
                <w:b/>
                <w:color w:val="000000" w:themeColor="text1"/>
                <w:u w:val="single"/>
                <w:lang w:eastAsia="zh-CN"/>
              </w:rPr>
            </w:pPr>
            <w:ins w:id="47"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48" w:author="Artyom Putilin" w:date="2021-04-15T17:14:00Z"/>
                <w:bCs/>
                <w:color w:val="0070C0"/>
                <w:lang w:val="en-US" w:eastAsia="zh-CN"/>
              </w:rPr>
            </w:pPr>
            <w:ins w:id="49"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0" w:author="Artyom Putilin" w:date="2021-04-15T17:14:00Z"/>
                <w:color w:val="0070C0"/>
                <w:u w:val="single"/>
                <w:lang w:val="en-US" w:eastAsia="zh-CN"/>
              </w:rPr>
            </w:pPr>
            <w:ins w:id="51"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lastRenderedPageBreak/>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So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52" w:author="Artyom Putilin" w:date="2021-04-15T17:14:00Z"/>
                <w:b/>
                <w:bCs/>
                <w:lang w:eastAsia="zh-CN"/>
              </w:rPr>
            </w:pPr>
            <w:ins w:id="53"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14:paraId="77253530" w14:textId="77777777" w:rsidTr="002106DE">
        <w:trPr>
          <w:ins w:id="54" w:author="Huawei" w:date="2021-04-16T09:34:00Z"/>
        </w:trPr>
        <w:tc>
          <w:tcPr>
            <w:tcW w:w="1538" w:type="dxa"/>
          </w:tcPr>
          <w:p w14:paraId="3B487EA3" w14:textId="77777777" w:rsidR="002106DE" w:rsidRDefault="002106DE" w:rsidP="00D6168E">
            <w:pPr>
              <w:spacing w:after="120"/>
              <w:rPr>
                <w:ins w:id="55" w:author="Huawei" w:date="2021-04-16T09:34:00Z"/>
                <w:b/>
                <w:bCs/>
                <w:color w:val="0070C0"/>
                <w:lang w:val="en-US" w:eastAsia="zh-CN"/>
              </w:rPr>
            </w:pPr>
            <w:ins w:id="56"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672F149F" w14:textId="77777777" w:rsidR="002106DE" w:rsidRDefault="002106DE" w:rsidP="00D6168E">
            <w:pPr>
              <w:rPr>
                <w:ins w:id="57" w:author="Huawei" w:date="2021-04-16T09:34:00Z"/>
                <w:b/>
                <w:color w:val="000000" w:themeColor="text1"/>
                <w:u w:val="single"/>
                <w:lang w:eastAsia="zh-CN"/>
              </w:rPr>
            </w:pPr>
            <w:ins w:id="58" w:author="Huawei" w:date="2021-04-16T09:34:00Z">
              <w:r>
                <w:rPr>
                  <w:rFonts w:hint="eastAsia"/>
                  <w:b/>
                  <w:color w:val="000000" w:themeColor="text1"/>
                  <w:u w:val="single"/>
                  <w:lang w:eastAsia="zh-CN"/>
                </w:rPr>
                <w:t xml:space="preserve">Issue 2-1-3: SCS configurations </w:t>
              </w:r>
            </w:ins>
          </w:p>
          <w:p w14:paraId="1436F6B3" w14:textId="77777777" w:rsidR="002106DE" w:rsidRDefault="002106DE" w:rsidP="00D6168E">
            <w:pPr>
              <w:rPr>
                <w:ins w:id="59" w:author="Huawei" w:date="2021-04-16T09:34:00Z"/>
                <w:b/>
                <w:color w:val="000000" w:themeColor="text1"/>
                <w:u w:val="single"/>
                <w:lang w:eastAsia="zh-CN"/>
              </w:rPr>
            </w:pPr>
            <w:ins w:id="60" w:author="Huawei" w:date="2021-04-16T09:34:00Z">
              <w:r>
                <w:rPr>
                  <w:rFonts w:hint="eastAsia"/>
                  <w:b/>
                  <w:color w:val="000000" w:themeColor="text1"/>
                  <w:u w:val="single"/>
                  <w:lang w:eastAsia="zh-CN"/>
                </w:rPr>
                <w:t>Issue 2-2-1: Applicability rule for SCS configuration</w:t>
              </w:r>
            </w:ins>
          </w:p>
          <w:p w14:paraId="1BA2E9D3" w14:textId="77777777" w:rsidR="002106DE" w:rsidRPr="008A25B3" w:rsidRDefault="002106DE" w:rsidP="00D6168E">
            <w:pPr>
              <w:rPr>
                <w:ins w:id="61" w:author="Huawei" w:date="2021-04-16T09:34:00Z"/>
                <w:rFonts w:eastAsiaTheme="minorEastAsia"/>
                <w:bCs/>
                <w:color w:val="0070C0"/>
                <w:lang w:eastAsia="zh-CN"/>
              </w:rPr>
            </w:pPr>
            <w:ins w:id="62"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14:paraId="53F1115A" w14:textId="77777777" w:rsidR="002106DE" w:rsidRDefault="002106DE" w:rsidP="00D6168E">
            <w:pPr>
              <w:rPr>
                <w:ins w:id="63" w:author="Huawei" w:date="2021-04-16T09:34:00Z"/>
                <w:b/>
                <w:color w:val="000000" w:themeColor="text1"/>
                <w:u w:val="single"/>
                <w:lang w:eastAsia="zh-CN"/>
              </w:rPr>
            </w:pPr>
            <w:ins w:id="64"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2339165" w14:textId="22F66B8A" w:rsidR="002106DE" w:rsidRDefault="002106DE" w:rsidP="00D6168E">
            <w:pPr>
              <w:rPr>
                <w:ins w:id="65" w:author="Huawei" w:date="2021-04-16T09:34:00Z"/>
                <w:color w:val="000000" w:themeColor="text1"/>
                <w:lang w:eastAsia="zh-CN"/>
              </w:rPr>
            </w:pPr>
            <w:ins w:id="66"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SFN transmission scheme need more complex processing but worse performance can be observed compared to DPS. So the q</w:t>
              </w:r>
              <w:r w:rsidR="000B1E0F">
                <w:rPr>
                  <w:color w:val="000000" w:themeColor="text1"/>
                  <w:lang w:eastAsia="zh-CN"/>
                </w:rPr>
                <w:t xml:space="preserve">uestion can be raised that why </w:t>
              </w:r>
              <w:r w:rsidRPr="00E2123F">
                <w:rPr>
                  <w:color w:val="000000" w:themeColor="text1"/>
                  <w:lang w:eastAsia="zh-CN"/>
                </w:rPr>
                <w:t>UE use</w:t>
              </w:r>
            </w:ins>
            <w:ins w:id="67" w:author="Huawei" w:date="2021-04-16T09:41:00Z">
              <w:r w:rsidR="000B1E0F">
                <w:rPr>
                  <w:color w:val="000000" w:themeColor="text1"/>
                  <w:lang w:eastAsia="zh-CN"/>
                </w:rPr>
                <w:t>s</w:t>
              </w:r>
            </w:ins>
            <w:ins w:id="68" w:author="Huawei" w:date="2021-04-16T09:34:00Z">
              <w:r w:rsidRPr="00E2123F">
                <w:rPr>
                  <w:color w:val="000000" w:themeColor="text1"/>
                  <w:lang w:eastAsia="zh-CN"/>
                </w:rPr>
                <w:t xml:space="preserve"> more complex processing to achieve worse performance? </w:t>
              </w:r>
            </w:ins>
          </w:p>
          <w:p w14:paraId="6F5DB883" w14:textId="77777777" w:rsidR="002106DE" w:rsidRDefault="002106DE" w:rsidP="00D6168E">
            <w:pPr>
              <w:rPr>
                <w:ins w:id="69" w:author="Huawei" w:date="2021-04-16T09:34:00Z"/>
                <w:color w:val="000000" w:themeColor="text1"/>
                <w:lang w:eastAsia="zh-CN"/>
              </w:rPr>
            </w:pPr>
            <w:ins w:id="70" w:author="Huawei" w:date="2021-04-16T09:34:00Z">
              <w:r>
                <w:rPr>
                  <w:color w:val="000000" w:themeColor="text1"/>
                  <w:lang w:eastAsia="zh-CN"/>
                </w:rPr>
                <w:t>To achieve better performance under HST-SFN, based on our observations on real network deployment and RAN1 R17 eMIMO agreements, DL Doppler pre-compensation is usually applied.</w:t>
              </w:r>
            </w:ins>
          </w:p>
          <w:p w14:paraId="797C7E36" w14:textId="77777777" w:rsidR="002106DE" w:rsidRDefault="002106DE" w:rsidP="00D6168E">
            <w:pPr>
              <w:rPr>
                <w:ins w:id="71" w:author="Huawei" w:date="2021-04-16T09:34:00Z"/>
                <w:color w:val="000000" w:themeColor="text1"/>
                <w:lang w:eastAsia="zh-CN"/>
              </w:rPr>
            </w:pPr>
            <w:ins w:id="72"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it is very unlikely that UE supporting HST-SFN will fail HST-DPS test since HST-SFN demod algorithm is much more advanced</w:t>
              </w:r>
              <w:r>
                <w:rPr>
                  <w:color w:val="000000" w:themeColor="text1"/>
                  <w:lang w:eastAsia="zh-CN"/>
                </w:rPr>
                <w:t>”. Very different algorithms for the two transmission schemes may be used.</w:t>
              </w:r>
            </w:ins>
          </w:p>
          <w:p w14:paraId="3802CAF0" w14:textId="77777777" w:rsidR="002106DE" w:rsidRDefault="002106DE" w:rsidP="00D6168E">
            <w:pPr>
              <w:rPr>
                <w:ins w:id="73" w:author="Huawei" w:date="2021-04-16T09:34:00Z"/>
                <w:rFonts w:eastAsiaTheme="minorEastAsia"/>
                <w:bCs/>
                <w:color w:val="0070C0"/>
                <w:lang w:eastAsia="zh-CN"/>
              </w:rPr>
            </w:pPr>
            <w:ins w:id="74"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宋体"/>
                  <w:color w:val="000000"/>
                  <w:lang w:eastAsia="zh-CN"/>
                </w:rPr>
                <w:t xml:space="preserve"> that UE has passed DPS CA requirements can skip SFN CA requirements. We think that it is also feasible that UE can select one scheme for CA scenarios to test.</w:t>
              </w:r>
            </w:ins>
          </w:p>
          <w:p w14:paraId="5E3033A0" w14:textId="42779C0A" w:rsidR="002106DE" w:rsidRDefault="002106DE" w:rsidP="00D6168E">
            <w:pPr>
              <w:rPr>
                <w:ins w:id="75" w:author="Huawei" w:date="2021-04-16T09:34:00Z"/>
                <w:rFonts w:eastAsiaTheme="minorEastAsia"/>
                <w:bCs/>
                <w:color w:val="0070C0"/>
                <w:lang w:eastAsia="zh-CN"/>
              </w:rPr>
            </w:pPr>
            <w:ins w:id="76" w:author="Huawei" w:date="2021-04-16T09:34:00Z">
              <w:r>
                <w:rPr>
                  <w:rFonts w:eastAsiaTheme="minorEastAsia"/>
                  <w:bCs/>
                  <w:color w:val="0070C0"/>
                  <w:lang w:eastAsia="zh-CN"/>
                </w:rPr>
                <w:t>Another compromise way is to consider to define two UE capability for DPS CA and SFN CA, UE perform the test only when UE support it and do not define any applicability rule for different schemes</w:t>
              </w:r>
              <w:bookmarkStart w:id="77" w:name="_GoBack"/>
              <w:bookmarkEnd w:id="77"/>
              <w:r>
                <w:rPr>
                  <w:rFonts w:eastAsiaTheme="minorEastAsia"/>
                  <w:bCs/>
                  <w:color w:val="0070C0"/>
                  <w:lang w:eastAsia="zh-CN"/>
                </w:rPr>
                <w:t>.</w:t>
              </w:r>
            </w:ins>
          </w:p>
          <w:p w14:paraId="7A39642D" w14:textId="77777777" w:rsidR="002106DE" w:rsidRDefault="002106DE" w:rsidP="00D6168E">
            <w:pPr>
              <w:rPr>
                <w:ins w:id="78" w:author="Huawei" w:date="2021-04-16T09:34:00Z"/>
                <w:b/>
                <w:color w:val="000000" w:themeColor="text1"/>
                <w:u w:val="single"/>
                <w:lang w:eastAsia="zh-CN"/>
              </w:rPr>
            </w:pPr>
            <w:ins w:id="79"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06C51780" w14:textId="77777777" w:rsidR="002106DE" w:rsidRDefault="002106DE" w:rsidP="00D6168E">
            <w:pPr>
              <w:rPr>
                <w:ins w:id="80" w:author="Huawei" w:date="2021-04-16T09:34:00Z"/>
                <w:rFonts w:eastAsiaTheme="minorEastAsia"/>
                <w:b/>
                <w:bCs/>
                <w:color w:val="0070C0"/>
                <w:lang w:eastAsia="zh-CN"/>
              </w:rPr>
            </w:pPr>
            <w:ins w:id="81" w:author="Huawei" w:date="2021-04-16T09:34:00Z">
              <w:r>
                <w:rPr>
                  <w:bCs/>
                  <w:color w:val="000000" w:themeColor="text1"/>
                  <w:lang w:eastAsia="ko-KR"/>
                </w:rPr>
                <w:t>We don’t support to define CA requirements as release independent from Rel-15. We need to further discuss if additional capability signalling or network assistance signalling is required for demod for HST-SFN JT in CA mode.</w:t>
              </w:r>
            </w:ins>
          </w:p>
          <w:p w14:paraId="5223346F" w14:textId="77777777" w:rsidR="002106DE" w:rsidRPr="00EC41C4" w:rsidRDefault="002106DE" w:rsidP="00D6168E">
            <w:pPr>
              <w:rPr>
                <w:ins w:id="82" w:author="Huawei" w:date="2021-04-16T09:34:00Z"/>
                <w:b/>
                <w:color w:val="000000" w:themeColor="text1"/>
                <w:u w:val="single"/>
                <w:lang w:eastAsia="zh-CN"/>
              </w:rPr>
            </w:pPr>
            <w:ins w:id="83" w:author="Huawei" w:date="2021-04-16T09:34:00Z">
              <w:r w:rsidRPr="00EC41C4">
                <w:rPr>
                  <w:rFonts w:hint="eastAsia"/>
                  <w:b/>
                  <w:color w:val="000000" w:themeColor="text1"/>
                  <w:u w:val="single"/>
                  <w:lang w:eastAsia="zh-CN"/>
                </w:rPr>
                <w:t>Issue 2-4-1: UE capability and network-assisted signalling</w:t>
              </w:r>
            </w:ins>
          </w:p>
          <w:p w14:paraId="2B9F633D" w14:textId="77777777" w:rsidR="002106DE" w:rsidRPr="00DE71E7" w:rsidRDefault="002106DE" w:rsidP="00D6168E">
            <w:pPr>
              <w:rPr>
                <w:ins w:id="84" w:author="Huawei" w:date="2021-04-16T09:34:00Z"/>
                <w:rFonts w:eastAsiaTheme="minorEastAsia"/>
                <w:bCs/>
                <w:color w:val="0070C0"/>
                <w:lang w:eastAsia="zh-CN"/>
              </w:rPr>
            </w:pPr>
            <w:ins w:id="85" w:author="Huawei" w:date="2021-04-16T09:34:00Z">
              <w:r>
                <w:rPr>
                  <w:rFonts w:eastAsiaTheme="minorEastAsia"/>
                  <w:bCs/>
                  <w:color w:val="0070C0"/>
                  <w:lang w:eastAsia="zh-CN"/>
                </w:rPr>
                <w:t>We prefer to discuss this issue later as per discussion on Issue 2-2-2.</w:t>
              </w:r>
            </w:ins>
          </w:p>
          <w:p w14:paraId="1CAED7A1" w14:textId="77777777" w:rsidR="002106DE" w:rsidRDefault="002106DE" w:rsidP="00D6168E">
            <w:pPr>
              <w:rPr>
                <w:ins w:id="86" w:author="Huawei" w:date="2021-04-16T09:34:00Z"/>
                <w:b/>
                <w:color w:val="000000" w:themeColor="text1"/>
                <w:u w:val="single"/>
                <w:lang w:eastAsia="zh-CN"/>
              </w:rPr>
            </w:pPr>
            <w:ins w:id="87" w:author="Huawei" w:date="2021-04-16T09:34:00Z">
              <w:r>
                <w:rPr>
                  <w:rFonts w:hint="eastAsia"/>
                  <w:b/>
                  <w:color w:val="000000" w:themeColor="text1"/>
                  <w:u w:val="single"/>
                  <w:lang w:eastAsia="zh-CN"/>
                </w:rPr>
                <w:t>Issue 2-5-1: Channel model for HST-DPS</w:t>
              </w:r>
            </w:ins>
          </w:p>
          <w:p w14:paraId="7A93055D" w14:textId="77777777" w:rsidR="002106DE" w:rsidRPr="00DE71E7" w:rsidRDefault="002106DE" w:rsidP="00D6168E">
            <w:pPr>
              <w:rPr>
                <w:ins w:id="88" w:author="Huawei" w:date="2021-04-16T09:34:00Z"/>
                <w:rFonts w:eastAsiaTheme="minorEastAsia"/>
                <w:bCs/>
                <w:color w:val="0070C0"/>
                <w:lang w:eastAsia="zh-CN"/>
              </w:rPr>
            </w:pPr>
            <w:ins w:id="89" w:author="Huawei" w:date="2021-04-16T09:34:00Z">
              <w:r w:rsidRPr="00DE71E7">
                <w:rPr>
                  <w:rFonts w:eastAsiaTheme="minorEastAsia"/>
                  <w:bCs/>
                  <w:color w:val="0070C0"/>
                  <w:lang w:eastAsia="zh-CN"/>
                </w:rPr>
                <w:t xml:space="preserve">Actually all channel models defined in HST do not reflect the real deployment perfectly. There is no big issue since it is convenient for the test by normalization power, i.e. fix the SNR. </w:t>
              </w:r>
            </w:ins>
          </w:p>
          <w:p w14:paraId="7541C4BB" w14:textId="77777777" w:rsidR="002106DE" w:rsidRDefault="002106DE" w:rsidP="00D6168E">
            <w:pPr>
              <w:rPr>
                <w:ins w:id="90" w:author="Huawei" w:date="2021-04-16T09:34:00Z"/>
                <w:b/>
                <w:bCs/>
                <w:color w:val="0070C0"/>
                <w:lang w:eastAsia="zh-CN"/>
              </w:rPr>
            </w:pPr>
            <w:ins w:id="91" w:author="Huawei" w:date="2021-04-16T09:34:00Z">
              <w:r w:rsidRPr="00DE71E7">
                <w:rPr>
                  <w:rFonts w:eastAsiaTheme="minorEastAsia"/>
                  <w:bCs/>
                  <w:color w:val="0070C0"/>
                  <w:lang w:eastAsia="zh-CN"/>
                </w:rPr>
                <w:t>SSB and TRS is transmitted all the time for DPS transmission scheme as per the latest specification. Also as per R4-2012668, reported L1-RSRP measurements are not tested. So we don’t think it is necessary to modify the HST-DPS channel model.</w:t>
              </w:r>
            </w:ins>
          </w:p>
        </w:tc>
      </w:tr>
    </w:tbl>
    <w:p w14:paraId="4B3B1B2D" w14:textId="2A0C7746" w:rsidR="000B5F13" w:rsidRPr="002106DE" w:rsidDel="002106DE" w:rsidRDefault="000B5F13">
      <w:pPr>
        <w:rPr>
          <w:del w:id="92" w:author="Huawei" w:date="2021-04-16T09:34:00Z"/>
          <w:lang w:eastAsia="zh-CN"/>
        </w:rPr>
      </w:pPr>
    </w:p>
    <w:p w14:paraId="4B3B1B2E" w14:textId="77777777" w:rsidR="000B5F13" w:rsidRDefault="00DB2BCF">
      <w:pPr>
        <w:pStyle w:val="2"/>
        <w:rPr>
          <w:lang w:val="en-US"/>
        </w:rPr>
      </w:pPr>
      <w:r>
        <w:rPr>
          <w:lang w:val="en-US"/>
        </w:rPr>
        <w:lastRenderedPageBreak/>
        <w:t>Summary on 2nd round (if applicable)</w:t>
      </w:r>
    </w:p>
    <w:tbl>
      <w:tblPr>
        <w:tblStyle w:val="af9"/>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r>
        <w:rPr>
          <w:rFonts w:hint="eastAsia"/>
          <w:i/>
          <w:color w:val="0070C0"/>
          <w:lang w:eastAsia="zh-CN"/>
        </w:rPr>
        <w:t>Agenda  8.6.3.3</w:t>
      </w:r>
    </w:p>
    <w:p w14:paraId="4B3B1B38" w14:textId="77777777" w:rsidR="000B5F13" w:rsidRDefault="00DB2BCF">
      <w:pPr>
        <w:pStyle w:val="2"/>
      </w:pPr>
      <w:r>
        <w:rPr>
          <w:rFonts w:hint="eastAsia"/>
        </w:rPr>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宋体" w:hAnsi="Arial" w:cs="Arial"/>
                <w:b/>
                <w:bCs/>
                <w:color w:val="FFFFFF"/>
                <w:sz w:val="18"/>
                <w:szCs w:val="18"/>
                <w:lang w:val="en-US" w:eastAsia="zh-CN"/>
              </w:rPr>
            </w:pPr>
            <w:r>
              <w:rPr>
                <w:rFonts w:ascii="Arial" w:eastAsia="宋体"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DD4E4B">
            <w:pPr>
              <w:spacing w:after="0"/>
              <w:rPr>
                <w:rFonts w:ascii="Arial" w:eastAsia="宋体" w:hAnsi="Arial" w:cs="Arial"/>
                <w:b/>
                <w:bCs/>
                <w:color w:val="0000FF"/>
                <w:sz w:val="16"/>
                <w:szCs w:val="16"/>
                <w:u w:val="single"/>
                <w:lang w:val="en-US" w:eastAsia="zh-CN"/>
              </w:rPr>
            </w:pPr>
            <w:hyperlink r:id="rId25" w:history="1">
              <w:r w:rsidR="00DB2BCF">
                <w:rPr>
                  <w:rFonts w:ascii="Arial" w:eastAsia="宋体"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DD4E4B">
            <w:pPr>
              <w:spacing w:after="0"/>
              <w:rPr>
                <w:rFonts w:ascii="Arial" w:eastAsia="宋体" w:hAnsi="Arial" w:cs="Arial"/>
                <w:b/>
                <w:bCs/>
                <w:color w:val="0000FF"/>
                <w:sz w:val="16"/>
                <w:szCs w:val="16"/>
                <w:u w:val="single"/>
                <w:lang w:val="en-US" w:eastAsia="zh-CN"/>
              </w:rPr>
            </w:pPr>
            <w:hyperlink r:id="rId26" w:history="1">
              <w:r w:rsidR="00DB2BCF">
                <w:rPr>
                  <w:rFonts w:ascii="Arial" w:eastAsia="宋体"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w:t>
            </w:r>
            <w:r>
              <w:rPr>
                <w:rFonts w:ascii="Arial" w:eastAsia="宋体"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DD4E4B">
            <w:pPr>
              <w:spacing w:after="0"/>
              <w:rPr>
                <w:rFonts w:ascii="Arial" w:eastAsia="宋体" w:hAnsi="Arial" w:cs="Arial"/>
                <w:b/>
                <w:bCs/>
                <w:color w:val="0000FF"/>
                <w:sz w:val="16"/>
                <w:szCs w:val="16"/>
                <w:u w:val="single"/>
                <w:lang w:val="en-US" w:eastAsia="zh-CN"/>
              </w:rPr>
            </w:pPr>
            <w:hyperlink r:id="rId27" w:history="1">
              <w:r w:rsidR="00DB2BCF">
                <w:rPr>
                  <w:rFonts w:ascii="Arial" w:eastAsia="宋体"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14:paraId="4B3B1B5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5: Use total maximum frequency offset of 870Hz for 15KHz SCS, 1667Hz for 30 KHz SCS respectively, if multi-DCI based multi-TRP requirements are defined.</w:t>
            </w:r>
          </w:p>
          <w:p w14:paraId="4B3B1B5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DD4E4B">
            <w:pPr>
              <w:spacing w:after="0"/>
              <w:rPr>
                <w:rFonts w:ascii="Arial" w:eastAsia="宋体" w:hAnsi="Arial" w:cs="Arial"/>
                <w:b/>
                <w:bCs/>
                <w:color w:val="0000FF"/>
                <w:sz w:val="16"/>
                <w:szCs w:val="16"/>
                <w:u w:val="single"/>
                <w:lang w:val="en-US" w:eastAsia="zh-CN"/>
              </w:rPr>
            </w:pPr>
            <w:hyperlink r:id="rId28" w:history="1">
              <w:r w:rsidR="00DB2BCF">
                <w:rPr>
                  <w:rFonts w:ascii="Arial" w:eastAsia="宋体"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lastRenderedPageBreak/>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4: Maximum throughput cannot achieved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DD4E4B">
            <w:pPr>
              <w:spacing w:after="0"/>
              <w:rPr>
                <w:rFonts w:ascii="Arial" w:eastAsia="宋体" w:hAnsi="Arial" w:cs="Arial"/>
                <w:b/>
                <w:bCs/>
                <w:color w:val="0000FF"/>
                <w:sz w:val="16"/>
                <w:szCs w:val="16"/>
                <w:u w:val="single"/>
                <w:lang w:val="en-US" w:eastAsia="zh-CN"/>
              </w:rPr>
            </w:pPr>
            <w:hyperlink r:id="rId29" w:history="1">
              <w:r w:rsidR="00DB2BCF">
                <w:rPr>
                  <w:rFonts w:ascii="Arial" w:eastAsia="宋体"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Observation 1: mDCI-based PDSCH transmission cannot achieve the maximum throughput when the HST-SFN channel model is applied.</w:t>
            </w:r>
          </w:p>
          <w:p w14:paraId="4B3B1B62"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 xml:space="preserve">Observation 3: mDCI-based transmission scheme with HST-SFN deployment scenario shows worse performance compared with HST-SFN JT/HST-DPS scenario. </w:t>
            </w:r>
          </w:p>
          <w:p w14:paraId="4B3B1B64"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RAN4 need more discussion/study whether to define mDCI-based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DD4E4B">
            <w:pPr>
              <w:spacing w:after="0"/>
              <w:rPr>
                <w:rFonts w:ascii="Arial" w:eastAsia="宋体" w:hAnsi="Arial" w:cs="Arial"/>
                <w:b/>
                <w:bCs/>
                <w:color w:val="0000FF"/>
                <w:sz w:val="16"/>
                <w:szCs w:val="16"/>
                <w:u w:val="single"/>
                <w:lang w:val="en-US" w:eastAsia="zh-CN"/>
              </w:rPr>
            </w:pPr>
            <w:hyperlink r:id="rId30" w:history="1">
              <w:r w:rsidR="00DB2BCF">
                <w:rPr>
                  <w:rFonts w:ascii="Arial" w:eastAsia="宋体"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宋体" w:hAnsi="Arial" w:cs="Arial"/>
                <w:sz w:val="16"/>
                <w:szCs w:val="16"/>
                <w:lang w:eastAsia="zh-CN"/>
              </w:rPr>
            </w:pPr>
            <w:r>
              <w:rPr>
                <w:rFonts w:ascii="Arial" w:eastAsia="宋体"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宋体" w:hAnsi="Arial" w:cs="Arial"/>
                <w:strike/>
                <w:sz w:val="16"/>
                <w:szCs w:val="16"/>
                <w:lang w:eastAsia="zh-CN"/>
              </w:rPr>
            </w:pPr>
            <w:r>
              <w:rPr>
                <w:rFonts w:ascii="Arial" w:eastAsia="宋体"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DD4E4B">
            <w:pPr>
              <w:spacing w:after="0"/>
              <w:rPr>
                <w:rFonts w:ascii="Arial" w:eastAsia="宋体" w:hAnsi="Arial" w:cs="Arial"/>
                <w:b/>
                <w:bCs/>
                <w:color w:val="0000FF"/>
                <w:sz w:val="16"/>
                <w:szCs w:val="16"/>
                <w:u w:val="single"/>
                <w:lang w:val="en-US" w:eastAsia="zh-CN"/>
              </w:rPr>
            </w:pPr>
            <w:hyperlink r:id="rId31" w:history="1">
              <w:r w:rsidR="00DB2BCF">
                <w:rPr>
                  <w:rFonts w:ascii="Arial" w:eastAsia="宋体"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宋体" w:hAnsi="Arial" w:cs="Arial"/>
                <w:sz w:val="16"/>
                <w:szCs w:val="16"/>
                <w:lang w:val="en-US" w:eastAsia="zh-CN"/>
              </w:rPr>
            </w:pPr>
            <w:r>
              <w:rPr>
                <w:rFonts w:ascii="Arial" w:eastAsia="宋体"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2"/>
      </w:pPr>
      <w:r>
        <w:rPr>
          <w:rFonts w:hint="eastAsia"/>
        </w:rPr>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78"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Firstly, focus on the study and evaluate the performance benefits of transmission scheme 2 in HST-SFN deployment comparing to other transmission schemes.</w:t>
      </w:r>
    </w:p>
    <w:p w14:paraId="4B3B1B7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7A"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(Ericsson): </w:t>
      </w:r>
      <w:r>
        <w:rPr>
          <w:rFonts w:eastAsia="宋体"/>
          <w:color w:val="000000" w:themeColor="text1"/>
          <w:szCs w:val="24"/>
          <w:lang w:eastAsia="zh-CN"/>
        </w:rPr>
        <w:t>RAN4 need more discussion/study whether to define mDCI-based transmission in HST-SFN deployment scenario</w:t>
      </w:r>
    </w:p>
    <w:p w14:paraId="4B3B1B7C"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7D"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宋体" w:hint="eastAsia"/>
          <w:color w:val="0070C0"/>
          <w:szCs w:val="24"/>
          <w:lang w:eastAsia="zh-CN"/>
        </w:rPr>
        <w:t xml:space="preserve">. </w:t>
      </w:r>
    </w:p>
    <w:p w14:paraId="4B3B1B7E" w14:textId="77777777" w:rsidR="000B5F13" w:rsidRDefault="000B5F13">
      <w:pPr>
        <w:pStyle w:val="afc"/>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t>Use total maximum frequency offset of 870Hz for 15KHz SCS, 1667Hz for 30 KHz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89" w14:textId="77777777" w:rsidR="000B5F13" w:rsidRDefault="00DB2BCF">
      <w:pPr>
        <w:pStyle w:val="afc"/>
        <w:numPr>
          <w:ilvl w:val="1"/>
          <w:numId w:val="8"/>
        </w:numPr>
        <w:overflowPunct/>
        <w:autoSpaceDE/>
        <w:autoSpaceDN/>
        <w:adjustRightInd/>
        <w:spacing w:after="120"/>
        <w:ind w:firstLineChars="0"/>
        <w:textAlignment w:val="auto"/>
        <w:rPr>
          <w:rFonts w:eastAsia="宋体"/>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Set Ds=700m and Dmin=150m as baseline</w:t>
      </w:r>
    </w:p>
    <w:p w14:paraId="4B3B1B8B" w14:textId="77777777" w:rsidR="000B5F13" w:rsidRDefault="00DB2BCF">
      <w:pPr>
        <w:numPr>
          <w:ilvl w:val="2"/>
          <w:numId w:val="8"/>
        </w:numPr>
        <w:rPr>
          <w:rFonts w:eastAsia="宋体"/>
          <w:color w:val="0070C0"/>
          <w:szCs w:val="24"/>
          <w:lang w:val="en-US" w:eastAsia="zh-CN"/>
        </w:rPr>
      </w:pPr>
      <w:r>
        <w:rPr>
          <w:rFonts w:eastAsia="宋体"/>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8F"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14:paraId="4B3B1B90" w14:textId="77777777" w:rsidR="000B5F13" w:rsidRDefault="00DB2BCF">
      <w:pPr>
        <w:pStyle w:val="afc"/>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14:paraId="4B3B1B91" w14:textId="77777777" w:rsidR="000B5F13" w:rsidRDefault="00DB2BCF">
      <w:pPr>
        <w:pStyle w:val="afc"/>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93" w14:textId="77777777" w:rsidR="000B5F13" w:rsidRDefault="00DB2BCF">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95"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宋体"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9F"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A0" w14:textId="77777777" w:rsidR="000B5F13" w:rsidRDefault="000B5F13">
      <w:pPr>
        <w:pStyle w:val="afc"/>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14:paraId="4B3B1BA5"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BA9"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14:paraId="4B3B1BAA"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HST-SFN joint transmission, use MCS13</w:t>
      </w:r>
    </w:p>
    <w:p w14:paraId="4B3B1BAB"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HST-DPS, use MCS 17</w:t>
      </w:r>
    </w:p>
    <w:p w14:paraId="4B3B1BAC"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B0"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4B3B1BB4"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14:paraId="4B3B1BB5" w14:textId="77777777" w:rsidR="000B5F13" w:rsidRDefault="00DB2BCF">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14:paraId="4B3B1BB6"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14:paraId="4B3B1BB7"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3: Max supported Doppler frequency</w:t>
      </w:r>
    </w:p>
    <w:p w14:paraId="4B3B1BB8" w14:textId="77777777" w:rsidR="000B5F13" w:rsidRDefault="00DB2BCF">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14:paraId="4B3B1BB9"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BC"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C2"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14:paraId="4B3B1BC7" w14:textId="77777777" w:rsidR="000B5F13" w:rsidRDefault="00DB2BCF">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BC8" w14:textId="77777777" w:rsidR="000B5F13" w:rsidRDefault="00DB2BCF">
      <w:pPr>
        <w:pStyle w:val="afc"/>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2"/>
        <w:rPr>
          <w:lang w:val="en-US"/>
        </w:rPr>
      </w:pPr>
      <w:r>
        <w:rPr>
          <w:lang w:val="en-US"/>
        </w:rPr>
        <w:t xml:space="preserve">Companies views’ collection for 1st round </w:t>
      </w:r>
    </w:p>
    <w:tbl>
      <w:tblPr>
        <w:tblStyle w:val="af9"/>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lastRenderedPageBreak/>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宋体"/>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lastRenderedPageBreak/>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HiSilicon</w:t>
            </w:r>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14:paraId="4B3B1BF0" w14:textId="77777777"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3"/>
        <w:ind w:left="851" w:hanging="851"/>
      </w:pPr>
      <w:r>
        <w:t>CRs/TPs comments collection</w:t>
      </w:r>
    </w:p>
    <w:p w14:paraId="4B3B1C06" w14:textId="77777777" w:rsidR="000B5F13" w:rsidRDefault="00DB2BCF">
      <w:pPr>
        <w:pStyle w:val="2"/>
      </w:pPr>
      <w:r>
        <w:t>Summary</w:t>
      </w:r>
      <w:r>
        <w:rPr>
          <w:rFonts w:hint="eastAsia"/>
        </w:rPr>
        <w:t xml:space="preserve"> for 1st round </w:t>
      </w:r>
    </w:p>
    <w:p w14:paraId="4B3B1C07" w14:textId="77777777" w:rsidR="000B5F13" w:rsidRDefault="00DB2BCF">
      <w:pPr>
        <w:pStyle w:val="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afc"/>
              <w:numPr>
                <w:ilvl w:val="1"/>
                <w:numId w:val="8"/>
              </w:numPr>
              <w:overflowPunct/>
              <w:autoSpaceDE/>
              <w:autoSpaceDN/>
              <w:adjustRightInd/>
              <w:spacing w:after="120"/>
              <w:ind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 xml:space="preserve">Option 2 (CMCC): </w:t>
            </w:r>
            <w:r>
              <w:rPr>
                <w:rFonts w:eastAsia="宋体"/>
                <w:color w:val="000000" w:themeColor="text1"/>
                <w:szCs w:val="24"/>
                <w:lang w:eastAsia="zh-CN"/>
              </w:rPr>
              <w:t>RAN4 need more discussion/study whether to define mDCI-based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宋体"/>
                <w:szCs w:val="24"/>
                <w:highlight w:val="green"/>
                <w:lang w:val="en-US" w:eastAsia="zh-CN"/>
              </w:rPr>
            </w:pPr>
            <w:r w:rsidRPr="00FA58B1">
              <w:rPr>
                <w:rFonts w:eastAsia="宋体"/>
                <w:szCs w:val="24"/>
                <w:highlight w:val="green"/>
                <w:lang w:val="en-US" w:eastAsia="zh-CN"/>
              </w:rPr>
              <w:t>Set Ds=700m and Dmin=150m as baseline</w:t>
            </w:r>
          </w:p>
          <w:p w14:paraId="4B3B1C1A" w14:textId="77777777" w:rsidR="0012008D" w:rsidRPr="00FA58B1" w:rsidRDefault="00FA58B1" w:rsidP="00FA58B1">
            <w:pPr>
              <w:numPr>
                <w:ilvl w:val="2"/>
                <w:numId w:val="8"/>
              </w:numPr>
              <w:rPr>
                <w:rFonts w:eastAsia="宋体"/>
                <w:color w:val="0070C0"/>
                <w:szCs w:val="24"/>
                <w:highlight w:val="green"/>
                <w:lang w:val="en-US" w:eastAsia="zh-CN"/>
              </w:rPr>
            </w:pPr>
            <w:r w:rsidRPr="00FA58B1">
              <w:rPr>
                <w:rFonts w:eastAsia="宋体"/>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w:t>
            </w:r>
            <w:r>
              <w:rPr>
                <w:rFonts w:hint="eastAsia"/>
                <w:b/>
                <w:bCs/>
                <w:u w:val="single"/>
                <w:lang w:eastAsia="zh-CN" w:bidi="hi-IN"/>
              </w:rPr>
              <w:lastRenderedPageBreak/>
              <w:t xml:space="preserve">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eastAsia="zh-CN"/>
              </w:rPr>
              <w:lastRenderedPageBreak/>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afc"/>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lastRenderedPageBreak/>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lastRenderedPageBreak/>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等线"/>
                <w:b/>
                <w:bCs/>
                <w:highlight w:val="yellow"/>
                <w:lang w:val="en-US" w:eastAsia="zh-CN"/>
              </w:rPr>
            </w:pPr>
            <w:r>
              <w:rPr>
                <w:rFonts w:eastAsia="等线" w:hint="eastAsia"/>
                <w:b/>
                <w:bCs/>
                <w:highlight w:val="yellow"/>
                <w:lang w:val="en-US" w:eastAsia="zh-CN"/>
              </w:rPr>
              <w:t>Recommended WF for 2</w:t>
            </w:r>
            <w:r>
              <w:rPr>
                <w:rFonts w:eastAsia="等线" w:hint="eastAsia"/>
                <w:b/>
                <w:bCs/>
                <w:highlight w:val="yellow"/>
                <w:vertAlign w:val="superscript"/>
                <w:lang w:val="en-US" w:eastAsia="zh-CN"/>
              </w:rPr>
              <w:t>nd</w:t>
            </w:r>
            <w:r>
              <w:rPr>
                <w:rFonts w:eastAsia="等线"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af9"/>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2"/>
        <w:rPr>
          <w:lang w:val="en-US"/>
        </w:rPr>
      </w:pPr>
      <w:r>
        <w:rPr>
          <w:lang w:val="en-US"/>
        </w:rPr>
        <w:t>Discussion on 2nd round (if applicable)</w:t>
      </w:r>
      <w:r>
        <w:rPr>
          <w:i/>
          <w:color w:val="0070C0"/>
          <w:lang w:val="en-US"/>
        </w:rPr>
        <w:t xml:space="preserve"> </w:t>
      </w:r>
    </w:p>
    <w:p w14:paraId="4B3B1C4F" w14:textId="77777777" w:rsidR="000B5F13" w:rsidRDefault="00DB2BCF">
      <w:pPr>
        <w:pStyle w:val="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等线"/>
          <w:b/>
          <w:bCs/>
          <w:color w:val="0070C0"/>
          <w:lang w:val="en-US" w:eastAsia="zh-CN"/>
        </w:rPr>
      </w:pPr>
      <w:r w:rsidRPr="005111B1">
        <w:rPr>
          <w:rFonts w:eastAsia="等线"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宋体"/>
          <w:color w:val="0070C0"/>
          <w:szCs w:val="24"/>
          <w:lang w:eastAsia="zh-CN"/>
        </w:rPr>
      </w:pPr>
      <w:r>
        <w:rPr>
          <w:rFonts w:eastAsia="宋体"/>
          <w:color w:val="0070C0"/>
          <w:szCs w:val="24"/>
          <w:lang w:eastAsia="zh-CN"/>
        </w:rPr>
        <w:t>Recommended WF</w:t>
      </w:r>
    </w:p>
    <w:p w14:paraId="4B3B1C59"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RAN4#98e meeting:</w:t>
      </w:r>
    </w:p>
    <w:p w14:paraId="4B3B1C5D"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MCS 13 and MCS 17 as baseline assumption for further evaluations</w:t>
      </w:r>
    </w:p>
    <w:p w14:paraId="4B3B1C5E"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HST-SFN joint transmission, use MCS13</w:t>
      </w:r>
    </w:p>
    <w:p w14:paraId="4B3B1C5F"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For mDCI-based transmission vs. HST-DPS, use MCS 17</w:t>
      </w:r>
    </w:p>
    <w:p w14:paraId="4B3B1C60"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64"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Theme="minorEastAsia" w:hint="eastAsia"/>
          <w:color w:val="000000" w:themeColor="text1"/>
          <w:szCs w:val="24"/>
          <w:lang w:eastAsia="zh-CN"/>
        </w:rPr>
        <w:t>Agreements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宋体" w:hint="eastAsia"/>
          <w:color w:val="000000" w:themeColor="text1"/>
          <w:szCs w:val="24"/>
          <w:lang w:eastAsia="zh-CN"/>
        </w:rPr>
        <w:t xml:space="preserve"> meeting:</w:t>
      </w:r>
    </w:p>
    <w:p w14:paraId="4B3B1C68"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1: Max achievable throughput across all scheduled TB</w:t>
      </w:r>
    </w:p>
    <w:p w14:paraId="4B3B1C69" w14:textId="77777777" w:rsidR="00BC0C14" w:rsidRDefault="00BC0C14" w:rsidP="00BC0C14">
      <w:pPr>
        <w:pStyle w:val="afc"/>
        <w:numPr>
          <w:ilvl w:val="1"/>
          <w:numId w:val="8"/>
        </w:numPr>
        <w:spacing w:after="120"/>
        <w:ind w:firstLineChars="0"/>
        <w:rPr>
          <w:rFonts w:eastAsia="宋体"/>
          <w:color w:val="000000" w:themeColor="text1"/>
          <w:szCs w:val="24"/>
          <w:lang w:val="en-US" w:eastAsia="zh-CN"/>
        </w:rPr>
      </w:pPr>
      <w:r>
        <w:rPr>
          <w:rFonts w:eastAsia="宋体"/>
          <w:color w:val="000000" w:themeColor="text1"/>
          <w:szCs w:val="24"/>
          <w:lang w:val="en-US" w:eastAsia="zh-CN"/>
        </w:rPr>
        <w:t>Different train locations and SNR points should be analyzed</w:t>
      </w:r>
    </w:p>
    <w:p w14:paraId="4B3B1C6A"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Option 2: SNR at 70% @max achievable throughput</w:t>
      </w:r>
    </w:p>
    <w:p w14:paraId="4B3B1C6B"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lastRenderedPageBreak/>
        <w:t>Option 3: Max supported Doppler frequency</w:t>
      </w:r>
    </w:p>
    <w:p w14:paraId="4B3B1C6C" w14:textId="77777777" w:rsidR="00BC0C14" w:rsidRDefault="00BC0C14" w:rsidP="00BC0C14">
      <w:pPr>
        <w:pStyle w:val="afc"/>
        <w:numPr>
          <w:ilvl w:val="0"/>
          <w:numId w:val="8"/>
        </w:numPr>
        <w:spacing w:after="120"/>
        <w:ind w:left="720" w:firstLine="400"/>
        <w:rPr>
          <w:rFonts w:eastAsia="宋体"/>
          <w:color w:val="000000" w:themeColor="text1"/>
          <w:szCs w:val="24"/>
          <w:lang w:val="en-US" w:eastAsia="zh-CN"/>
        </w:rPr>
      </w:pPr>
      <w:r>
        <w:rPr>
          <w:rFonts w:eastAsia="宋体"/>
          <w:color w:val="000000" w:themeColor="text1"/>
          <w:szCs w:val="24"/>
          <w:lang w:val="en-US" w:eastAsia="zh-CN"/>
        </w:rPr>
        <w:t xml:space="preserve">Other options are not precluded </w:t>
      </w:r>
    </w:p>
    <w:p w14:paraId="4B3B1C6D"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70" w14:textId="77777777" w:rsidR="00BC0C14"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宋体"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r>
        <w:rPr>
          <w:rFonts w:eastAsia="宋体"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宋体"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afc"/>
        <w:numPr>
          <w:ilvl w:val="0"/>
          <w:numId w:val="8"/>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3B1C76" w14:textId="77777777" w:rsidR="00BC0C14" w:rsidRPr="008D1977" w:rsidRDefault="00BC0C14" w:rsidP="00BC0C14">
      <w:pPr>
        <w:pStyle w:val="afc"/>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3"/>
        <w:ind w:left="851" w:hanging="851"/>
        <w:rPr>
          <w:lang w:val="en-US"/>
        </w:rPr>
      </w:pPr>
      <w:r>
        <w:rPr>
          <w:rFonts w:hint="eastAsia"/>
          <w:lang w:val="en-US"/>
        </w:rPr>
        <w:t xml:space="preserve">Open issues </w:t>
      </w:r>
    </w:p>
    <w:tbl>
      <w:tblPr>
        <w:tblStyle w:val="af9"/>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93" w:author="Licheng Lin (林立晟)" w:date="2021-04-15T18:21:00Z">
              <w:r w:rsidRPr="00A0683C">
                <w:t>MediaTek</w:t>
              </w:r>
            </w:ins>
          </w:p>
        </w:tc>
        <w:tc>
          <w:tcPr>
            <w:tcW w:w="8093" w:type="dxa"/>
          </w:tcPr>
          <w:p w14:paraId="4B3B1C7F" w14:textId="77777777" w:rsidR="00B348F8" w:rsidRDefault="00B348F8" w:rsidP="00B348F8">
            <w:pPr>
              <w:jc w:val="both"/>
              <w:rPr>
                <w:ins w:id="94" w:author="Licheng Lin (林立晟)" w:date="2021-04-15T18:21:00Z"/>
                <w:b/>
                <w:color w:val="000000" w:themeColor="text1"/>
                <w:u w:val="single"/>
                <w:lang w:eastAsia="zh-CN"/>
              </w:rPr>
            </w:pPr>
            <w:ins w:id="95"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96" w:author="Licheng Lin (林立晟)" w:date="2021-04-15T18:21:00Z"/>
              </w:rPr>
            </w:pPr>
            <w:ins w:id="97"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98" w:author="Licheng Lin (林立晟)" w:date="2021-04-15T18:21:00Z"/>
              </w:rPr>
            </w:pPr>
            <w:ins w:id="99"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14:paraId="4B3B1C82" w14:textId="77777777" w:rsidR="00B348F8" w:rsidRDefault="00B348F8" w:rsidP="00B348F8">
            <w:pPr>
              <w:jc w:val="both"/>
              <w:rPr>
                <w:ins w:id="100" w:author="Licheng Lin (林立晟)" w:date="2021-04-15T18:21:00Z"/>
                <w:b/>
                <w:color w:val="000000" w:themeColor="text1"/>
                <w:u w:val="single"/>
                <w:lang w:eastAsia="zh-CN"/>
              </w:rPr>
            </w:pPr>
          </w:p>
          <w:p w14:paraId="4B3B1C83" w14:textId="77777777" w:rsidR="00B348F8" w:rsidRDefault="00B348F8" w:rsidP="00B348F8">
            <w:pPr>
              <w:jc w:val="both"/>
              <w:rPr>
                <w:ins w:id="101" w:author="Licheng Lin (林立晟)" w:date="2021-04-15T18:21:00Z"/>
                <w:b/>
                <w:color w:val="000000" w:themeColor="text1"/>
                <w:u w:val="single"/>
                <w:lang w:eastAsia="zh-CN"/>
              </w:rPr>
            </w:pPr>
            <w:ins w:id="102"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103" w:author="Licheng Lin (林立晟)" w:date="2021-04-15T18:21:00Z"/>
                <w:bCs/>
                <w:lang w:eastAsia="zh-CN"/>
              </w:rPr>
            </w:pPr>
            <w:ins w:id="104"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105" w:author="Licheng Lin (林立晟)" w:date="2021-04-15T18:21:00Z"/>
                <w:bCs/>
                <w:lang w:eastAsia="zh-CN"/>
              </w:rPr>
            </w:pPr>
            <w:ins w:id="106"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afc"/>
              <w:numPr>
                <w:ilvl w:val="0"/>
                <w:numId w:val="14"/>
              </w:numPr>
              <w:ind w:firstLineChars="0"/>
              <w:jc w:val="both"/>
              <w:rPr>
                <w:ins w:id="107" w:author="Licheng Lin (林立晟)" w:date="2021-04-15T18:21:00Z"/>
                <w:rFonts w:eastAsia="Yu Mincho"/>
                <w:bCs/>
                <w:lang w:eastAsia="zh-CN"/>
              </w:rPr>
            </w:pPr>
            <w:ins w:id="108"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afc"/>
              <w:numPr>
                <w:ilvl w:val="0"/>
                <w:numId w:val="14"/>
              </w:numPr>
              <w:ind w:firstLineChars="0"/>
              <w:jc w:val="both"/>
              <w:rPr>
                <w:ins w:id="109" w:author="Licheng Lin (林立晟)" w:date="2021-04-15T18:21:00Z"/>
                <w:rFonts w:eastAsia="Yu Mincho"/>
                <w:bCs/>
                <w:lang w:eastAsia="zh-CN"/>
              </w:rPr>
            </w:pPr>
            <w:ins w:id="110"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111" w:author="Licheng Lin (林立晟)" w:date="2021-04-15T18:21:00Z"/>
                <w:bCs/>
                <w:lang w:eastAsia="zh-CN"/>
              </w:rPr>
            </w:pPr>
            <w:ins w:id="112" w:author="Licheng Lin (林立晟)" w:date="2021-04-15T18:21:00Z">
              <w:r>
                <w:rPr>
                  <w:bCs/>
                  <w:lang w:eastAsia="zh-CN"/>
                </w:rPr>
                <w:t xml:space="preserve">For either option, we can compare the throughput of HST-SFN and DPS to multi-DCI transmission scheme at some location, e.g,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w:t>
              </w:r>
              <w:r>
                <w:rPr>
                  <w:bCs/>
                  <w:lang w:eastAsia="zh-CN"/>
                </w:rPr>
                <w:lastRenderedPageBreak/>
                <w:t>like to emphasize that the above mentioned options are used for evaluation of performance gain and we do think fixed MCS should be used for requirement definition.</w:t>
              </w:r>
            </w:ins>
          </w:p>
          <w:p w14:paraId="4B3B1C89" w14:textId="77777777" w:rsidR="00B348F8" w:rsidRDefault="00B348F8" w:rsidP="00B348F8">
            <w:pPr>
              <w:spacing w:after="120"/>
              <w:jc w:val="both"/>
              <w:rPr>
                <w:ins w:id="113" w:author="Licheng Lin (林立晟)" w:date="2021-04-15T18:21:00Z"/>
                <w:bCs/>
                <w:lang w:eastAsia="zh-CN"/>
              </w:rPr>
            </w:pPr>
          </w:p>
          <w:p w14:paraId="4B3B1C8A" w14:textId="77777777" w:rsidR="00B348F8" w:rsidRDefault="00B348F8" w:rsidP="00B348F8">
            <w:pPr>
              <w:rPr>
                <w:ins w:id="114" w:author="Licheng Lin (林立晟)" w:date="2021-04-15T18:21:00Z"/>
                <w:b/>
                <w:color w:val="000000" w:themeColor="text1"/>
                <w:u w:val="single"/>
                <w:lang w:eastAsia="zh-CN"/>
              </w:rPr>
            </w:pPr>
            <w:ins w:id="115"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116" w:author="Licheng Lin (林立晟)" w:date="2021-04-15T18:21:00Z"/>
                <w:bCs/>
                <w:lang w:eastAsia="zh-CN"/>
              </w:rPr>
            </w:pPr>
            <w:ins w:id="117"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118" w:author="Licheng Lin (林立晟)" w:date="2021-04-15T18:21:00Z"/>
                <w:bCs/>
                <w:lang w:eastAsia="zh-CN"/>
              </w:rPr>
            </w:pPr>
          </w:p>
          <w:p w14:paraId="4B3B1C8D" w14:textId="77777777" w:rsidR="00B348F8" w:rsidRDefault="00B348F8" w:rsidP="00B348F8">
            <w:pPr>
              <w:jc w:val="both"/>
              <w:rPr>
                <w:ins w:id="119" w:author="Licheng Lin (林立晟)" w:date="2021-04-15T18:21:00Z"/>
                <w:b/>
                <w:color w:val="000000" w:themeColor="text1"/>
                <w:u w:val="single"/>
                <w:lang w:eastAsia="zh-CN"/>
              </w:rPr>
            </w:pPr>
            <w:ins w:id="120"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121"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r w:rsidR="000F4EEB" w14:paraId="006BAA9E" w14:textId="77777777">
        <w:trPr>
          <w:ins w:id="122" w:author="Artyom Putilin" w:date="2021-04-15T17:15:00Z"/>
        </w:trPr>
        <w:tc>
          <w:tcPr>
            <w:tcW w:w="1538" w:type="dxa"/>
          </w:tcPr>
          <w:p w14:paraId="3BB43DFE" w14:textId="60E81E3A" w:rsidR="000F4EEB" w:rsidRPr="00A0683C" w:rsidRDefault="000F4EEB" w:rsidP="00B348F8">
            <w:pPr>
              <w:spacing w:after="120"/>
              <w:rPr>
                <w:ins w:id="123" w:author="Artyom Putilin" w:date="2021-04-15T17:15:00Z"/>
              </w:rPr>
            </w:pPr>
            <w:ins w:id="124" w:author="Artyom Putilin" w:date="2021-04-15T17:15:00Z">
              <w:r>
                <w:lastRenderedPageBreak/>
                <w:t>Intel</w:t>
              </w:r>
            </w:ins>
          </w:p>
        </w:tc>
        <w:tc>
          <w:tcPr>
            <w:tcW w:w="8093" w:type="dxa"/>
          </w:tcPr>
          <w:p w14:paraId="44D38300" w14:textId="77777777" w:rsidR="00A63EF0" w:rsidRDefault="00A63EF0" w:rsidP="00A63EF0">
            <w:pPr>
              <w:jc w:val="both"/>
              <w:rPr>
                <w:ins w:id="125" w:author="Artyom Putilin" w:date="2021-04-15T17:15:00Z"/>
                <w:b/>
                <w:color w:val="000000" w:themeColor="text1"/>
                <w:u w:val="single"/>
                <w:lang w:eastAsia="zh-CN"/>
              </w:rPr>
            </w:pPr>
            <w:ins w:id="126"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127" w:author="Artyom Putilin" w:date="2021-04-15T17:15:00Z"/>
                <w:bCs/>
                <w:color w:val="000000" w:themeColor="text1"/>
                <w:lang w:eastAsia="ko-KR"/>
              </w:rPr>
            </w:pPr>
            <w:ins w:id="128"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129" w:author="Artyom Putilin" w:date="2021-04-15T17:15:00Z"/>
                <w:b/>
                <w:color w:val="000000" w:themeColor="text1"/>
                <w:u w:val="single"/>
                <w:lang w:eastAsia="ko-KR"/>
              </w:rPr>
            </w:pPr>
            <w:ins w:id="130"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131" w:author="Artyom Putilin" w:date="2021-04-15T17:15:00Z"/>
                <w:bCs/>
                <w:color w:val="000000" w:themeColor="text1"/>
                <w:lang w:eastAsia="ko-KR"/>
              </w:rPr>
            </w:pPr>
            <w:ins w:id="132"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133" w:author="Artyom Putilin" w:date="2021-04-15T17:15:00Z"/>
                <w:b/>
                <w:color w:val="000000" w:themeColor="text1"/>
                <w:u w:val="single"/>
                <w:lang w:eastAsia="zh-CN"/>
              </w:rPr>
            </w:pPr>
            <w:ins w:id="134"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135" w:author="Artyom Putilin" w:date="2021-04-15T17:15:00Z"/>
                <w:b/>
                <w:color w:val="000000" w:themeColor="text1"/>
                <w:u w:val="single"/>
                <w:lang w:eastAsia="ko-KR"/>
              </w:rPr>
            </w:pPr>
            <w:ins w:id="136" w:author="Artyom Putilin" w:date="2021-04-15T17:15:00Z">
              <w:r w:rsidRPr="006837E6">
                <w:rPr>
                  <w:bCs/>
                  <w:color w:val="000000" w:themeColor="text1"/>
                  <w:lang w:eastAsia="ko-KR"/>
                </w:rPr>
                <w:t>As we commented even with link adapt</w:t>
              </w:r>
              <w:r>
                <w:rPr>
                  <w:bCs/>
                  <w:color w:val="000000" w:themeColor="text1"/>
                  <w:lang w:eastAsia="ko-KR"/>
                </w:rPr>
                <w:t>at</w:t>
              </w:r>
              <w:r w:rsidRPr="006837E6">
                <w:rPr>
                  <w:bCs/>
                  <w:color w:val="000000" w:themeColor="text1"/>
                  <w:lang w:eastAsia="ko-KR"/>
                </w:rPr>
                <w:t>ion we will not observe performance gains with multi-DCI based Tx scheme.</w:t>
              </w:r>
            </w:ins>
          </w:p>
        </w:tc>
      </w:tr>
      <w:tr w:rsidR="002106DE" w:rsidRPr="00CD7979" w14:paraId="73BBEB42" w14:textId="77777777" w:rsidTr="002106DE">
        <w:trPr>
          <w:ins w:id="137" w:author="Huawei" w:date="2021-04-16T09:36:00Z"/>
        </w:trPr>
        <w:tc>
          <w:tcPr>
            <w:tcW w:w="1538" w:type="dxa"/>
          </w:tcPr>
          <w:p w14:paraId="300BA884" w14:textId="77777777" w:rsidR="002106DE" w:rsidRPr="00CD7979" w:rsidRDefault="002106DE" w:rsidP="00D6168E">
            <w:pPr>
              <w:spacing w:after="120"/>
              <w:rPr>
                <w:ins w:id="138" w:author="Huawei" w:date="2021-04-16T09:36:00Z"/>
                <w:rFonts w:eastAsiaTheme="minorEastAsia"/>
                <w:b/>
                <w:bCs/>
                <w:color w:val="0070C0"/>
                <w:lang w:val="en-US" w:eastAsia="zh-CN"/>
              </w:rPr>
            </w:pPr>
            <w:ins w:id="139" w:author="Huawei" w:date="2021-04-16T09: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093" w:type="dxa"/>
          </w:tcPr>
          <w:p w14:paraId="4A4CAAD7" w14:textId="77777777" w:rsidR="002106DE" w:rsidRDefault="002106DE" w:rsidP="00D6168E">
            <w:pPr>
              <w:rPr>
                <w:ins w:id="140" w:author="Huawei" w:date="2021-04-16T09:36:00Z"/>
                <w:b/>
                <w:color w:val="000000" w:themeColor="text1"/>
                <w:u w:val="single"/>
                <w:lang w:eastAsia="zh-CN"/>
              </w:rPr>
            </w:pPr>
            <w:ins w:id="141"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42E09B" w14:textId="77777777" w:rsidR="002106DE" w:rsidRDefault="002106DE" w:rsidP="00D6168E">
            <w:pPr>
              <w:spacing w:after="120"/>
              <w:rPr>
                <w:ins w:id="142" w:author="Huawei" w:date="2021-04-16T09:36:00Z"/>
              </w:rPr>
            </w:pPr>
            <w:ins w:id="143"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14:paraId="72AF86BA" w14:textId="77777777" w:rsidR="002106DE" w:rsidRDefault="002106DE" w:rsidP="00D6168E">
            <w:pPr>
              <w:rPr>
                <w:ins w:id="144" w:author="Huawei" w:date="2021-04-16T09:36:00Z"/>
                <w:b/>
                <w:color w:val="000000" w:themeColor="text1"/>
                <w:u w:val="single"/>
                <w:lang w:eastAsia="ko-KR"/>
              </w:rPr>
            </w:pPr>
            <w:ins w:id="145" w:author="Huawei" w:date="2021-04-16T09:36:00Z">
              <w:r>
                <w:rPr>
                  <w:rFonts w:hint="eastAsia"/>
                  <w:b/>
                  <w:color w:val="000000" w:themeColor="text1"/>
                  <w:u w:val="single"/>
                  <w:lang w:eastAsia="zh-CN"/>
                </w:rPr>
                <w:t xml:space="preserve">Issue 2-5: </w:t>
              </w:r>
              <w:r>
                <w:rPr>
                  <w:b/>
                  <w:color w:val="000000" w:themeColor="text1"/>
                  <w:u w:val="single"/>
                  <w:lang w:eastAsia="ko-KR"/>
                </w:rPr>
                <w:t>SNR definition</w:t>
              </w:r>
            </w:ins>
          </w:p>
          <w:p w14:paraId="52D0877A" w14:textId="77777777" w:rsidR="002106DE" w:rsidRDefault="002106DE" w:rsidP="00D6168E">
            <w:pPr>
              <w:spacing w:after="120"/>
              <w:rPr>
                <w:ins w:id="146" w:author="Huawei" w:date="2021-04-16T09:36:00Z"/>
                <w:rFonts w:eastAsiaTheme="minorEastAsia"/>
                <w:bCs/>
                <w:color w:val="0070C0"/>
                <w:lang w:eastAsia="zh-CN"/>
              </w:rPr>
            </w:pPr>
            <w:ins w:id="147" w:author="Huawei" w:date="2021-04-16T09:36:00Z">
              <w:r>
                <w:rPr>
                  <w:rFonts w:eastAsiaTheme="minorEastAsia" w:hint="eastAsia"/>
                  <w:bCs/>
                  <w:color w:val="0070C0"/>
                  <w:lang w:eastAsia="zh-CN"/>
                </w:rPr>
                <w:t>O</w:t>
              </w:r>
              <w:r>
                <w:rPr>
                  <w:rFonts w:eastAsiaTheme="minorEastAsia"/>
                  <w:bCs/>
                  <w:color w:val="0070C0"/>
                  <w:lang w:eastAsia="zh-CN"/>
                </w:rPr>
                <w:t>ption 1.</w:t>
              </w:r>
            </w:ins>
          </w:p>
          <w:p w14:paraId="24EA418B" w14:textId="77777777" w:rsidR="002106DE" w:rsidRDefault="002106DE" w:rsidP="00D6168E">
            <w:pPr>
              <w:rPr>
                <w:ins w:id="148" w:author="Huawei" w:date="2021-04-16T09:36:00Z"/>
                <w:b/>
                <w:color w:val="000000" w:themeColor="text1"/>
                <w:u w:val="single"/>
                <w:lang w:eastAsia="zh-CN"/>
              </w:rPr>
            </w:pPr>
            <w:ins w:id="149"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9E12C64" w14:textId="77777777" w:rsidR="002106DE" w:rsidRDefault="002106DE" w:rsidP="00D6168E">
            <w:pPr>
              <w:spacing w:after="120"/>
              <w:rPr>
                <w:ins w:id="150" w:author="Huawei" w:date="2021-04-16T09:36:00Z"/>
              </w:rPr>
            </w:pPr>
            <w:ins w:id="151" w:author="Huawei" w:date="2021-04-16T09:36:00Z">
              <w:r>
                <w:t xml:space="preserve">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ins>
          </w:p>
          <w:p w14:paraId="5E70C953" w14:textId="77777777" w:rsidR="002106DE" w:rsidRDefault="002106DE" w:rsidP="00D6168E">
            <w:pPr>
              <w:rPr>
                <w:ins w:id="152" w:author="Huawei" w:date="2021-04-16T09:36:00Z"/>
                <w:b/>
                <w:color w:val="000000" w:themeColor="text1"/>
                <w:u w:val="single"/>
                <w:lang w:eastAsia="ko-KR"/>
              </w:rPr>
            </w:pPr>
            <w:ins w:id="153"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27E85C8E" w14:textId="77777777" w:rsidR="002106DE" w:rsidRDefault="002106DE" w:rsidP="00D6168E">
            <w:pPr>
              <w:rPr>
                <w:ins w:id="154" w:author="Huawei" w:date="2021-04-16T09:36:00Z"/>
                <w:b/>
                <w:color w:val="000000" w:themeColor="text1"/>
                <w:u w:val="single"/>
                <w:lang w:eastAsia="zh-CN"/>
              </w:rPr>
            </w:pPr>
            <w:ins w:id="155" w:author="Huawei" w:date="2021-04-16T09:36:00Z">
              <w:r>
                <w:t>As companies’ evaluation, there is no benefit under all three candidate options for mTRP. Other evaluation metric should be considered if finally further evaluation will be conducted.</w:t>
              </w:r>
            </w:ins>
          </w:p>
          <w:p w14:paraId="1833808A" w14:textId="77777777" w:rsidR="002106DE" w:rsidRDefault="002106DE" w:rsidP="00D6168E">
            <w:pPr>
              <w:rPr>
                <w:ins w:id="156" w:author="Huawei" w:date="2021-04-16T09:36:00Z"/>
                <w:b/>
                <w:color w:val="000000" w:themeColor="text1"/>
                <w:u w:val="single"/>
                <w:lang w:eastAsia="zh-CN"/>
              </w:rPr>
            </w:pPr>
            <w:ins w:id="157" w:author="Huawei" w:date="2021-04-16T09:36: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0AD6F684" w14:textId="77777777" w:rsidR="002106DE" w:rsidRPr="00CD7979" w:rsidRDefault="002106DE" w:rsidP="00D6168E">
            <w:pPr>
              <w:spacing w:after="120"/>
              <w:rPr>
                <w:ins w:id="158" w:author="Huawei" w:date="2021-04-16T09:36:00Z"/>
                <w:rFonts w:eastAsiaTheme="minorEastAsia"/>
                <w:bCs/>
                <w:color w:val="0070C0"/>
                <w:lang w:eastAsia="zh-CN"/>
              </w:rPr>
            </w:pPr>
            <w:ins w:id="159" w:author="Huawei" w:date="2021-04-16T09:36:00Z">
              <w:r>
                <w:rPr>
                  <w:rFonts w:eastAsiaTheme="minorEastAsia" w:hint="eastAsia"/>
                  <w:bCs/>
                  <w:color w:val="0070C0"/>
                  <w:lang w:eastAsia="zh-CN"/>
                </w:rPr>
                <w:t>O</w:t>
              </w:r>
              <w:r>
                <w:rPr>
                  <w:rFonts w:eastAsiaTheme="minorEastAsia"/>
                  <w:bCs/>
                  <w:color w:val="0070C0"/>
                  <w:lang w:eastAsia="zh-CN"/>
                </w:rPr>
                <w:t>ption 1.</w:t>
              </w:r>
            </w:ins>
          </w:p>
        </w:tc>
      </w:tr>
    </w:tbl>
    <w:p w14:paraId="4B3B1C90" w14:textId="327AE764" w:rsidR="000B5F13" w:rsidDel="002106DE" w:rsidRDefault="000B5F13">
      <w:pPr>
        <w:rPr>
          <w:del w:id="160" w:author="Huawei" w:date="2021-04-16T09:36:00Z"/>
          <w:lang w:eastAsia="zh-CN"/>
        </w:rPr>
      </w:pPr>
    </w:p>
    <w:p w14:paraId="4B3B1C91" w14:textId="77777777" w:rsidR="000B5F13" w:rsidRDefault="00DB2BCF">
      <w:pPr>
        <w:pStyle w:val="2"/>
        <w:rPr>
          <w:lang w:val="en-US"/>
        </w:rPr>
      </w:pPr>
      <w:r>
        <w:rPr>
          <w:lang w:val="en-US"/>
        </w:rPr>
        <w:t>Summary on 2nd round (if applicable)</w:t>
      </w:r>
    </w:p>
    <w:tbl>
      <w:tblPr>
        <w:tblStyle w:val="af9"/>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1"/>
        <w:rPr>
          <w:lang w:val="en-US" w:eastAsia="ja-JP"/>
        </w:rPr>
      </w:pPr>
      <w:r>
        <w:rPr>
          <w:lang w:val="en-US" w:eastAsia="ja-JP"/>
        </w:rPr>
        <w:t>Recommendations for Tdocs</w:t>
      </w:r>
    </w:p>
    <w:p w14:paraId="4B3B1C9B" w14:textId="77777777" w:rsidR="000624AB" w:rsidRPr="00035C50" w:rsidRDefault="000624AB" w:rsidP="000624AB">
      <w:pPr>
        <w:pStyle w:val="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New tdocs</w:t>
      </w:r>
    </w:p>
    <w:tbl>
      <w:tblPr>
        <w:tblStyle w:val="af9"/>
        <w:tblW w:w="5000" w:type="pct"/>
        <w:tblLook w:val="04A0" w:firstRow="1" w:lastRow="0" w:firstColumn="1" w:lastColumn="0" w:noHBand="0" w:noVBand="1"/>
      </w:tblPr>
      <w:tblGrid>
        <w:gridCol w:w="3964"/>
        <w:gridCol w:w="2552"/>
        <w:gridCol w:w="3115"/>
      </w:tblGrid>
      <w:tr w:rsidR="000624AB" w:rsidRPr="00004165" w14:paraId="4B3B1CA0" w14:textId="77777777" w:rsidTr="002327E1">
        <w:tc>
          <w:tcPr>
            <w:tcW w:w="2058" w:type="pct"/>
          </w:tcPr>
          <w:p w14:paraId="4B3B1C9D" w14:textId="77777777" w:rsidR="000624AB" w:rsidRDefault="000624AB" w:rsidP="002327E1">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2327E1">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2327E1">
            <w:pPr>
              <w:spacing w:after="120"/>
              <w:rPr>
                <w:b/>
                <w:bCs/>
                <w:color w:val="0070C0"/>
                <w:lang w:val="en-US" w:eastAsia="zh-CN"/>
              </w:rPr>
            </w:pPr>
            <w:r>
              <w:rPr>
                <w:b/>
                <w:bCs/>
                <w:color w:val="0070C0"/>
                <w:lang w:val="en-US" w:eastAsia="zh-CN"/>
              </w:rPr>
              <w:t>Comments</w:t>
            </w:r>
          </w:p>
        </w:tc>
      </w:tr>
      <w:tr w:rsidR="000624AB" w:rsidRPr="0093133D" w14:paraId="4B3B1CA4" w14:textId="77777777" w:rsidTr="002327E1">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2327E1">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2327E1">
            <w:pPr>
              <w:spacing w:after="120"/>
              <w:rPr>
                <w:rFonts w:eastAsiaTheme="minorEastAsia"/>
                <w:color w:val="0070C0"/>
                <w:lang w:val="en-US" w:eastAsia="zh-CN"/>
              </w:rPr>
            </w:pPr>
          </w:p>
        </w:tc>
      </w:tr>
      <w:tr w:rsidR="000624AB" w:rsidRPr="0093133D" w14:paraId="4B3B1CA8" w14:textId="77777777" w:rsidTr="002327E1">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2327E1">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af9"/>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2327E1">
        <w:tc>
          <w:tcPr>
            <w:tcW w:w="1424" w:type="dxa"/>
          </w:tcPr>
          <w:p w14:paraId="4B3B1CAB" w14:textId="77777777" w:rsidR="00B8768B" w:rsidRPr="00045592" w:rsidRDefault="00B8768B" w:rsidP="002327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B3B1CAC" w14:textId="77777777" w:rsidR="00B8768B" w:rsidRDefault="00B8768B" w:rsidP="002327E1">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2327E1">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2327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2327E1">
            <w:pPr>
              <w:spacing w:after="120"/>
              <w:rPr>
                <w:b/>
                <w:bCs/>
                <w:color w:val="0070C0"/>
                <w:lang w:val="en-US" w:eastAsia="zh-CN"/>
              </w:rPr>
            </w:pPr>
            <w:r>
              <w:rPr>
                <w:b/>
                <w:bCs/>
                <w:color w:val="0070C0"/>
                <w:lang w:val="en-US" w:eastAsia="zh-CN"/>
              </w:rPr>
              <w:t>Comments</w:t>
            </w:r>
          </w:p>
        </w:tc>
      </w:tr>
      <w:tr w:rsidR="00B8768B" w:rsidRPr="00B04195" w14:paraId="4B3B1CB7" w14:textId="77777777" w:rsidTr="002327E1">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14:paraId="4B3B1CB4" w14:textId="77777777" w:rsidR="00B8768B" w:rsidRPr="00B04195" w:rsidRDefault="00B8768B" w:rsidP="002327E1">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2327E1">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14:paraId="4B3B1CB6" w14:textId="77777777" w:rsidR="00B8768B" w:rsidRPr="00B04195" w:rsidRDefault="00B8768B" w:rsidP="002327E1">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5C51" w14:textId="77777777" w:rsidR="00DD4E4B" w:rsidRDefault="00DD4E4B" w:rsidP="00156297">
      <w:pPr>
        <w:spacing w:after="0"/>
      </w:pPr>
      <w:r>
        <w:separator/>
      </w:r>
    </w:p>
  </w:endnote>
  <w:endnote w:type="continuationSeparator" w:id="0">
    <w:p w14:paraId="7BAF3C10" w14:textId="77777777" w:rsidR="00DD4E4B" w:rsidRDefault="00DD4E4B"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3F63" w14:textId="77777777" w:rsidR="00DD4E4B" w:rsidRDefault="00DD4E4B" w:rsidP="00156297">
      <w:pPr>
        <w:spacing w:after="0"/>
      </w:pPr>
      <w:r>
        <w:separator/>
      </w:r>
    </w:p>
  </w:footnote>
  <w:footnote w:type="continuationSeparator" w:id="0">
    <w:p w14:paraId="44E05A2D" w14:textId="77777777" w:rsidR="00DD4E4B" w:rsidRDefault="00DD4E4B" w:rsidP="001562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6"/>
  </w:num>
  <w:num w:numId="3">
    <w:abstractNumId w:val="13"/>
  </w:num>
  <w:num w:numId="4">
    <w:abstractNumId w:val="8"/>
  </w:num>
  <w:num w:numId="5">
    <w:abstractNumId w:val="10"/>
  </w:num>
  <w:num w:numId="6">
    <w:abstractNumId w:val="11"/>
  </w:num>
  <w:num w:numId="7">
    <w:abstractNumId w:val="4"/>
  </w:num>
  <w:num w:numId="8">
    <w:abstractNumId w:val="9"/>
  </w:num>
  <w:num w:numId="9">
    <w:abstractNumId w:val="0"/>
  </w:num>
  <w:num w:numId="10">
    <w:abstractNumId w:val="1"/>
  </w:num>
  <w:num w:numId="11">
    <w:abstractNumId w:val="2"/>
  </w:num>
  <w:num w:numId="12">
    <w:abstractNumId w:val="5"/>
  </w:num>
  <w:num w:numId="13">
    <w:abstractNumId w:val="12"/>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zuyoshi Uesaka">
    <w15:presenceInfo w15:providerId="None" w15:userId="Kazuyoshi Uesaka"/>
  </w15:person>
  <w15:person w15:author="Artyom Putilin">
    <w15:presenceInfo w15:providerId="None" w15:userId="Artyom Putilin"/>
  </w15:person>
  <w15:person w15:author="Huawei">
    <w15:presenceInfo w15:providerId="None" w15:userId="Huawei"/>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8F"/>
    <w:pPr>
      <w:spacing w:after="180"/>
    </w:pPr>
    <w:rPr>
      <w:lang w:val="en-GB"/>
    </w:rPr>
  </w:style>
  <w:style w:type="paragraph" w:styleId="1">
    <w:name w:val="heading 1"/>
    <w:next w:val="a"/>
    <w:link w:val="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DD438F"/>
    <w:pPr>
      <w:numPr>
        <w:ilvl w:val="2"/>
      </w:numPr>
      <w:spacing w:before="120"/>
      <w:outlineLvl w:val="2"/>
    </w:pPr>
  </w:style>
  <w:style w:type="paragraph" w:styleId="4">
    <w:name w:val="heading 4"/>
    <w:basedOn w:val="3"/>
    <w:next w:val="a"/>
    <w:link w:val="4Char"/>
    <w:qFormat/>
    <w:rsid w:val="00DD438F"/>
    <w:pPr>
      <w:numPr>
        <w:ilvl w:val="3"/>
      </w:numPr>
      <w:outlineLvl w:val="3"/>
    </w:pPr>
    <w:rPr>
      <w:sz w:val="24"/>
    </w:rPr>
  </w:style>
  <w:style w:type="paragraph" w:styleId="5">
    <w:name w:val="heading 5"/>
    <w:basedOn w:val="4"/>
    <w:next w:val="a"/>
    <w:link w:val="5Char"/>
    <w:qFormat/>
    <w:rsid w:val="00DD438F"/>
    <w:pPr>
      <w:numPr>
        <w:ilvl w:val="4"/>
      </w:numPr>
      <w:outlineLvl w:val="4"/>
    </w:pPr>
    <w:rPr>
      <w:sz w:val="22"/>
    </w:rPr>
  </w:style>
  <w:style w:type="paragraph" w:styleId="6">
    <w:name w:val="heading 6"/>
    <w:basedOn w:val="H6"/>
    <w:next w:val="a"/>
    <w:link w:val="6Char"/>
    <w:qFormat/>
    <w:rsid w:val="00DD438F"/>
    <w:pPr>
      <w:numPr>
        <w:ilvl w:val="5"/>
      </w:numPr>
      <w:outlineLvl w:val="5"/>
    </w:pPr>
  </w:style>
  <w:style w:type="paragraph" w:styleId="7">
    <w:name w:val="heading 7"/>
    <w:basedOn w:val="H6"/>
    <w:next w:val="a"/>
    <w:link w:val="7Char"/>
    <w:qFormat/>
    <w:rsid w:val="00DD438F"/>
    <w:pPr>
      <w:numPr>
        <w:ilvl w:val="6"/>
      </w:numPr>
      <w:outlineLvl w:val="6"/>
    </w:pPr>
  </w:style>
  <w:style w:type="paragraph" w:styleId="8">
    <w:name w:val="heading 8"/>
    <w:basedOn w:val="1"/>
    <w:next w:val="a"/>
    <w:link w:val="8Char"/>
    <w:qFormat/>
    <w:rsid w:val="00DD438F"/>
    <w:pPr>
      <w:numPr>
        <w:ilvl w:val="7"/>
      </w:numPr>
      <w:outlineLvl w:val="7"/>
    </w:pPr>
  </w:style>
  <w:style w:type="paragraph" w:styleId="9">
    <w:name w:val="heading 9"/>
    <w:basedOn w:val="8"/>
    <w:next w:val="a"/>
    <w:link w:val="9Char"/>
    <w:qFormat/>
    <w:rsid w:val="00DD438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0">
    <w:name w:val="List 3"/>
    <w:basedOn w:val="20"/>
    <w:qFormat/>
    <w:rsid w:val="00DD438F"/>
    <w:pPr>
      <w:ind w:left="1135"/>
    </w:pPr>
  </w:style>
  <w:style w:type="paragraph" w:styleId="20">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Char1"/>
    <w:qFormat/>
    <w:rsid w:val="00DD438F"/>
    <w:rPr>
      <w:b/>
      <w:bCs/>
    </w:rPr>
  </w:style>
  <w:style w:type="paragraph" w:styleId="a5">
    <w:name w:val="annotation text"/>
    <w:basedOn w:val="a"/>
    <w:link w:val="Char"/>
    <w:uiPriority w:val="99"/>
    <w:qFormat/>
    <w:rsid w:val="00DD438F"/>
  </w:style>
  <w:style w:type="paragraph" w:styleId="70">
    <w:name w:val="toc 7"/>
    <w:basedOn w:val="60"/>
    <w:next w:val="a"/>
    <w:qFormat/>
    <w:rsid w:val="00DD438F"/>
    <w:pPr>
      <w:ind w:left="2268" w:hanging="2268"/>
    </w:pPr>
  </w:style>
  <w:style w:type="paragraph" w:styleId="60">
    <w:name w:val="toc 6"/>
    <w:basedOn w:val="50"/>
    <w:next w:val="a"/>
    <w:qFormat/>
    <w:rsid w:val="00DD438F"/>
    <w:pPr>
      <w:ind w:left="1985" w:hanging="1985"/>
    </w:pPr>
  </w:style>
  <w:style w:type="paragraph" w:styleId="50">
    <w:name w:val="toc 5"/>
    <w:basedOn w:val="40"/>
    <w:next w:val="a"/>
    <w:qFormat/>
    <w:rsid w:val="00DD438F"/>
    <w:pPr>
      <w:ind w:left="1701" w:hanging="1701"/>
    </w:pPr>
  </w:style>
  <w:style w:type="paragraph" w:styleId="40">
    <w:name w:val="toc 4"/>
    <w:basedOn w:val="31"/>
    <w:next w:val="a"/>
    <w:qFormat/>
    <w:rsid w:val="00DD438F"/>
    <w:pPr>
      <w:ind w:left="1418" w:hanging="1418"/>
    </w:pPr>
  </w:style>
  <w:style w:type="paragraph" w:styleId="31">
    <w:name w:val="toc 3"/>
    <w:basedOn w:val="21"/>
    <w:next w:val="a"/>
    <w:qFormat/>
    <w:rsid w:val="00DD438F"/>
    <w:pPr>
      <w:ind w:left="1134" w:hanging="1134"/>
    </w:pPr>
  </w:style>
  <w:style w:type="paragraph" w:styleId="21">
    <w:name w:val="toc 2"/>
    <w:basedOn w:val="10"/>
    <w:next w:val="a"/>
    <w:qFormat/>
    <w:rsid w:val="00DD438F"/>
    <w:pPr>
      <w:keepNext w:val="0"/>
      <w:spacing w:before="0"/>
      <w:ind w:left="851" w:hanging="851"/>
    </w:pPr>
    <w:rPr>
      <w:sz w:val="20"/>
    </w:rPr>
  </w:style>
  <w:style w:type="paragraph" w:styleId="10">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2">
    <w:name w:val="List Number 2"/>
    <w:basedOn w:val="a6"/>
    <w:qFormat/>
    <w:rsid w:val="00DD438F"/>
    <w:pPr>
      <w:ind w:left="851"/>
    </w:pPr>
  </w:style>
  <w:style w:type="paragraph" w:styleId="a6">
    <w:name w:val="List Number"/>
    <w:basedOn w:val="a3"/>
    <w:qFormat/>
    <w:rsid w:val="00DD438F"/>
  </w:style>
  <w:style w:type="paragraph" w:styleId="41">
    <w:name w:val="List Bullet 4"/>
    <w:basedOn w:val="32"/>
    <w:qFormat/>
    <w:rsid w:val="00DD438F"/>
    <w:pPr>
      <w:ind w:left="1418"/>
    </w:pPr>
  </w:style>
  <w:style w:type="paragraph" w:styleId="32">
    <w:name w:val="List Bullet 3"/>
    <w:basedOn w:val="23"/>
    <w:qFormat/>
    <w:rsid w:val="00DD438F"/>
    <w:pPr>
      <w:ind w:left="1135"/>
    </w:pPr>
  </w:style>
  <w:style w:type="paragraph" w:styleId="23">
    <w:name w:val="List Bullet 2"/>
    <w:basedOn w:val="a7"/>
    <w:qFormat/>
    <w:rsid w:val="00DD438F"/>
    <w:pPr>
      <w:ind w:left="851"/>
    </w:pPr>
  </w:style>
  <w:style w:type="paragraph" w:styleId="a7">
    <w:name w:val="List Bullet"/>
    <w:basedOn w:val="a3"/>
    <w:qFormat/>
    <w:rsid w:val="00DD438F"/>
  </w:style>
  <w:style w:type="paragraph" w:styleId="a8">
    <w:name w:val="caption"/>
    <w:basedOn w:val="a"/>
    <w:next w:val="a"/>
    <w:link w:val="Char0"/>
    <w:qFormat/>
    <w:rsid w:val="00DD438F"/>
    <w:pPr>
      <w:spacing w:before="120" w:after="120"/>
    </w:pPr>
    <w:rPr>
      <w:b/>
    </w:rPr>
  </w:style>
  <w:style w:type="paragraph" w:styleId="a9">
    <w:name w:val="Document Map"/>
    <w:basedOn w:val="a"/>
    <w:semiHidden/>
    <w:qFormat/>
    <w:rsid w:val="00DD438F"/>
    <w:pPr>
      <w:shd w:val="clear" w:color="auto" w:fill="000080"/>
    </w:pPr>
    <w:rPr>
      <w:rFonts w:ascii="Tahoma" w:hAnsi="Tahoma"/>
    </w:rPr>
  </w:style>
  <w:style w:type="paragraph" w:styleId="aa">
    <w:name w:val="Body Text"/>
    <w:basedOn w:val="a"/>
    <w:link w:val="Char2"/>
    <w:qFormat/>
    <w:rsid w:val="00DD438F"/>
  </w:style>
  <w:style w:type="paragraph" w:styleId="ab">
    <w:name w:val="Plain Text"/>
    <w:basedOn w:val="a"/>
    <w:link w:val="Char3"/>
    <w:uiPriority w:val="99"/>
    <w:qFormat/>
    <w:rsid w:val="00DD438F"/>
    <w:rPr>
      <w:rFonts w:ascii="Courier New" w:hAnsi="Courier New"/>
      <w:lang w:val="nb-NO"/>
    </w:rPr>
  </w:style>
  <w:style w:type="paragraph" w:styleId="51">
    <w:name w:val="List Bullet 5"/>
    <w:basedOn w:val="41"/>
    <w:qFormat/>
    <w:rsid w:val="00DD438F"/>
    <w:pPr>
      <w:ind w:left="1702"/>
    </w:pPr>
  </w:style>
  <w:style w:type="paragraph" w:styleId="80">
    <w:name w:val="toc 8"/>
    <w:basedOn w:val="10"/>
    <w:next w:val="a"/>
    <w:qFormat/>
    <w:rsid w:val="00DD438F"/>
    <w:pPr>
      <w:spacing w:before="180"/>
      <w:ind w:left="2693" w:hanging="2693"/>
    </w:pPr>
    <w:rPr>
      <w:b/>
    </w:rPr>
  </w:style>
  <w:style w:type="paragraph" w:styleId="24">
    <w:name w:val="Body Text Indent 2"/>
    <w:basedOn w:val="a"/>
    <w:link w:val="2Char0"/>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rsid w:val="00DD438F"/>
    <w:pPr>
      <w:overflowPunct w:val="0"/>
      <w:autoSpaceDE w:val="0"/>
      <w:autoSpaceDN w:val="0"/>
      <w:adjustRightInd w:val="0"/>
      <w:textAlignment w:val="baseline"/>
    </w:pPr>
    <w:rPr>
      <w:rFonts w:eastAsia="Yu Mincho"/>
    </w:rPr>
  </w:style>
  <w:style w:type="paragraph" w:styleId="ad">
    <w:name w:val="Balloon Text"/>
    <w:basedOn w:val="a"/>
    <w:link w:val="Char5"/>
    <w:qFormat/>
    <w:rsid w:val="00DD438F"/>
    <w:pPr>
      <w:spacing w:after="0"/>
    </w:pPr>
    <w:rPr>
      <w:sz w:val="18"/>
      <w:szCs w:val="18"/>
    </w:rPr>
  </w:style>
  <w:style w:type="paragraph" w:styleId="ae">
    <w:name w:val="footer"/>
    <w:basedOn w:val="af"/>
    <w:link w:val="Char6"/>
    <w:qFormat/>
    <w:rsid w:val="00DD438F"/>
    <w:pPr>
      <w:jc w:val="center"/>
    </w:pPr>
    <w:rPr>
      <w:i/>
    </w:rPr>
  </w:style>
  <w:style w:type="paragraph" w:styleId="af">
    <w:name w:val="header"/>
    <w:link w:val="Char7"/>
    <w:qFormat/>
    <w:rsid w:val="00DD438F"/>
    <w:pPr>
      <w:widowControl w:val="0"/>
    </w:pPr>
    <w:rPr>
      <w:rFonts w:ascii="Arial" w:hAnsi="Arial"/>
      <w:b/>
      <w:sz w:val="18"/>
      <w:lang w:val="en-GB" w:eastAsia="sv-SE"/>
    </w:rPr>
  </w:style>
  <w:style w:type="paragraph" w:styleId="af0">
    <w:name w:val="index heading"/>
    <w:basedOn w:val="a"/>
    <w:next w:val="a"/>
    <w:semiHidden/>
    <w:qFormat/>
    <w:rsid w:val="00DD438F"/>
    <w:pPr>
      <w:pBdr>
        <w:top w:val="single" w:sz="12" w:space="0" w:color="auto"/>
      </w:pBdr>
      <w:spacing w:before="360" w:after="240"/>
    </w:pPr>
    <w:rPr>
      <w:b/>
      <w:i/>
      <w:sz w:val="26"/>
    </w:rPr>
  </w:style>
  <w:style w:type="paragraph" w:styleId="af1">
    <w:name w:val="footnote text"/>
    <w:basedOn w:val="a"/>
    <w:link w:val="Char8"/>
    <w:semiHidden/>
    <w:qFormat/>
    <w:rsid w:val="00DD438F"/>
    <w:pPr>
      <w:keepLines/>
      <w:spacing w:after="0"/>
      <w:ind w:left="454" w:hanging="454"/>
    </w:pPr>
    <w:rPr>
      <w:sz w:val="16"/>
    </w:rPr>
  </w:style>
  <w:style w:type="paragraph" w:styleId="52">
    <w:name w:val="List 5"/>
    <w:basedOn w:val="42"/>
    <w:qFormat/>
    <w:rsid w:val="00DD438F"/>
    <w:pPr>
      <w:ind w:left="1702"/>
    </w:pPr>
  </w:style>
  <w:style w:type="paragraph" w:styleId="42">
    <w:name w:val="List 4"/>
    <w:basedOn w:val="30"/>
    <w:qFormat/>
    <w:rsid w:val="00DD438F"/>
    <w:pPr>
      <w:ind w:left="1418"/>
    </w:pPr>
  </w:style>
  <w:style w:type="paragraph" w:styleId="90">
    <w:name w:val="toc 9"/>
    <w:basedOn w:val="80"/>
    <w:next w:val="a"/>
    <w:qFormat/>
    <w:rsid w:val="00DD438F"/>
    <w:pPr>
      <w:ind w:left="1418" w:hanging="1418"/>
    </w:pPr>
  </w:style>
  <w:style w:type="paragraph" w:styleId="af2">
    <w:name w:val="Normal (Web)"/>
    <w:basedOn w:val="a"/>
    <w:uiPriority w:val="99"/>
    <w:qFormat/>
    <w:rsid w:val="00DD438F"/>
    <w:pPr>
      <w:spacing w:before="100" w:beforeAutospacing="1" w:after="100" w:afterAutospacing="1"/>
    </w:pPr>
    <w:rPr>
      <w:rFonts w:eastAsia="Arial Unicode MS"/>
      <w:sz w:val="24"/>
      <w:szCs w:val="24"/>
    </w:rPr>
  </w:style>
  <w:style w:type="paragraph" w:styleId="11">
    <w:name w:val="index 1"/>
    <w:basedOn w:val="a"/>
    <w:next w:val="a"/>
    <w:semiHidden/>
    <w:qFormat/>
    <w:rsid w:val="00DD438F"/>
    <w:pPr>
      <w:keepLines/>
      <w:spacing w:after="0"/>
    </w:pPr>
  </w:style>
  <w:style w:type="paragraph" w:styleId="25">
    <w:name w:val="index 2"/>
    <w:basedOn w:val="11"/>
    <w:next w:val="a"/>
    <w:semiHidden/>
    <w:qFormat/>
    <w:rsid w:val="00DD438F"/>
    <w:pPr>
      <w:ind w:left="284"/>
    </w:pPr>
  </w:style>
  <w:style w:type="character" w:styleId="af3">
    <w:name w:val="endnote reference"/>
    <w:qFormat/>
    <w:rsid w:val="00DD438F"/>
    <w:rPr>
      <w:vertAlign w:val="superscript"/>
    </w:rPr>
  </w:style>
  <w:style w:type="character" w:styleId="af4">
    <w:name w:val="FollowedHyperlink"/>
    <w:qFormat/>
    <w:rsid w:val="00DD438F"/>
    <w:rPr>
      <w:color w:val="800080"/>
      <w:u w:val="single"/>
    </w:rPr>
  </w:style>
  <w:style w:type="character" w:styleId="af5">
    <w:name w:val="Emphasis"/>
    <w:qFormat/>
    <w:rsid w:val="00DD438F"/>
    <w:rPr>
      <w:i/>
      <w:iCs/>
    </w:rPr>
  </w:style>
  <w:style w:type="character" w:styleId="af6">
    <w:name w:val="Hyperlink"/>
    <w:uiPriority w:val="99"/>
    <w:qFormat/>
    <w:rsid w:val="00DD438F"/>
    <w:rPr>
      <w:color w:val="0000FF"/>
      <w:u w:val="single"/>
    </w:rPr>
  </w:style>
  <w:style w:type="character" w:styleId="af7">
    <w:name w:val="annotation reference"/>
    <w:semiHidden/>
    <w:qFormat/>
    <w:rsid w:val="00DD438F"/>
    <w:rPr>
      <w:sz w:val="16"/>
    </w:rPr>
  </w:style>
  <w:style w:type="character" w:styleId="af8">
    <w:name w:val="footnote reference"/>
    <w:semiHidden/>
    <w:qFormat/>
    <w:rsid w:val="00DD438F"/>
    <w:rPr>
      <w:b/>
      <w:position w:val="6"/>
      <w:sz w:val="16"/>
    </w:rPr>
  </w:style>
  <w:style w:type="table" w:styleId="af9">
    <w:name w:val="Table Grid"/>
    <w:basedOn w:val="a1"/>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0"/>
    <w:qFormat/>
    <w:rsid w:val="00DD438F"/>
  </w:style>
  <w:style w:type="paragraph" w:customStyle="1" w:styleId="B3">
    <w:name w:val="B3"/>
    <w:basedOn w:val="30"/>
    <w:qFormat/>
    <w:rsid w:val="00DD438F"/>
  </w:style>
  <w:style w:type="paragraph" w:customStyle="1" w:styleId="B4">
    <w:name w:val="B4"/>
    <w:basedOn w:val="42"/>
    <w:qFormat/>
    <w:rsid w:val="00DD438F"/>
  </w:style>
  <w:style w:type="paragraph" w:customStyle="1" w:styleId="B5">
    <w:name w:val="B5"/>
    <w:basedOn w:val="52"/>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Char">
    <w:name w:val="标题 2 Char"/>
    <w:link w:val="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1Char">
    <w:name w:val="标题 1 Char"/>
    <w:link w:val="1"/>
    <w:qFormat/>
    <w:rsid w:val="00DD438F"/>
    <w:rPr>
      <w:rFonts w:ascii="Arial" w:hAnsi="Arial"/>
      <w:sz w:val="36"/>
      <w:lang w:val="sv-SE"/>
    </w:rPr>
  </w:style>
  <w:style w:type="character" w:customStyle="1" w:styleId="Char7">
    <w:name w:val="页眉 Char"/>
    <w:link w:val="af"/>
    <w:qFormat/>
    <w:rsid w:val="00DD438F"/>
    <w:rPr>
      <w:rFonts w:ascii="Arial" w:hAnsi="Arial"/>
      <w:b/>
      <w:sz w:val="18"/>
      <w:lang w:val="en-GB" w:bidi="ar-SA"/>
    </w:rPr>
  </w:style>
  <w:style w:type="character" w:customStyle="1" w:styleId="Char">
    <w:name w:val="批注文字 Char"/>
    <w:link w:val="a5"/>
    <w:uiPriority w:val="99"/>
    <w:qFormat/>
    <w:rsid w:val="00DD438F"/>
    <w:rPr>
      <w:lang w:val="en-GB" w:eastAsia="en-US"/>
    </w:rPr>
  </w:style>
  <w:style w:type="character" w:customStyle="1" w:styleId="Char9">
    <w:name w:val="批注主题 Char"/>
    <w:basedOn w:val="Char"/>
    <w:qFormat/>
    <w:rsid w:val="00DD438F"/>
    <w:rPr>
      <w:lang w:val="en-GB" w:eastAsia="en-US"/>
    </w:rPr>
  </w:style>
  <w:style w:type="paragraph" w:customStyle="1" w:styleId="12">
    <w:name w:val="修订1"/>
    <w:hidden/>
    <w:uiPriority w:val="99"/>
    <w:semiHidden/>
    <w:qFormat/>
    <w:rsid w:val="00DD438F"/>
    <w:rPr>
      <w:lang w:val="en-GB"/>
    </w:rPr>
  </w:style>
  <w:style w:type="character" w:customStyle="1" w:styleId="Char5">
    <w:name w:val="批注框文本 Char"/>
    <w:link w:val="ad"/>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Char">
    <w:name w:val="标题 8 Char"/>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har0">
    <w:name w:val="题注 Char"/>
    <w:link w:val="a8"/>
    <w:qFormat/>
    <w:rsid w:val="00DD438F"/>
    <w:rPr>
      <w:b/>
      <w:lang w:val="en-GB"/>
    </w:rPr>
  </w:style>
  <w:style w:type="character" w:customStyle="1" w:styleId="3Char">
    <w:name w:val="标题 3 Char"/>
    <w:link w:val="3"/>
    <w:qFormat/>
    <w:rsid w:val="00DD438F"/>
    <w:rPr>
      <w:rFonts w:ascii="Arial" w:hAnsi="Arial"/>
      <w:sz w:val="28"/>
      <w:szCs w:val="18"/>
      <w:lang w:eastAsia="zh-CN"/>
    </w:rPr>
  </w:style>
  <w:style w:type="character" w:customStyle="1" w:styleId="Char2">
    <w:name w:val="正文文本 Char"/>
    <w:link w:val="aa"/>
    <w:qFormat/>
    <w:rsid w:val="00DD438F"/>
    <w:rPr>
      <w:lang w:val="en-GB"/>
    </w:rPr>
  </w:style>
  <w:style w:type="paragraph" w:customStyle="1" w:styleId="3GPPNormalText">
    <w:name w:val="3GPP Normal Text"/>
    <w:basedOn w:val="aa"/>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Char3">
    <w:name w:val="纯文本 Char"/>
    <w:link w:val="ab"/>
    <w:uiPriority w:val="99"/>
    <w:qFormat/>
    <w:rsid w:val="00DD438F"/>
    <w:rPr>
      <w:rFonts w:ascii="Courier New" w:hAnsi="Courier New"/>
      <w:lang w:val="nb-NO" w:eastAsia="en-US"/>
    </w:rPr>
  </w:style>
  <w:style w:type="paragraph" w:styleId="afa">
    <w:name w:val="No Spacing"/>
    <w:uiPriority w:val="1"/>
    <w:qFormat/>
    <w:rsid w:val="00DD438F"/>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sid w:val="00DD438F"/>
    <w:rPr>
      <w:b/>
      <w:bCs/>
      <w:lang w:val="en-GB" w:eastAsia="en-US"/>
    </w:rPr>
  </w:style>
  <w:style w:type="character" w:customStyle="1" w:styleId="13">
    <w:name w:val="不明显参考1"/>
    <w:uiPriority w:val="31"/>
    <w:qFormat/>
    <w:rsid w:val="00DD438F"/>
    <w:rPr>
      <w:smallCaps/>
      <w:color w:val="C0504D"/>
      <w:u w:val="single"/>
    </w:rPr>
  </w:style>
  <w:style w:type="paragraph" w:customStyle="1" w:styleId="afb">
    <w:name w:val="样式 页眉"/>
    <w:basedOn w:val="af"/>
    <w:link w:val="Chara"/>
    <w:qFormat/>
    <w:rsid w:val="00DD438F"/>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sid w:val="00DD438F"/>
    <w:rPr>
      <w:rFonts w:ascii="Arial" w:eastAsia="Arial" w:hAnsi="Arial"/>
      <w:b/>
      <w:bCs/>
      <w:sz w:val="22"/>
      <w:lang w:val="en-GB" w:eastAsia="en-US"/>
    </w:rPr>
  </w:style>
  <w:style w:type="character" w:customStyle="1" w:styleId="Char6">
    <w:name w:val="页脚 Char"/>
    <w:link w:val="ae"/>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DD438F"/>
    <w:rPr>
      <w:rFonts w:ascii="Arial" w:hAnsi="Arial"/>
      <w:sz w:val="24"/>
      <w:szCs w:val="18"/>
      <w:lang w:eastAsia="zh-CN"/>
    </w:rPr>
  </w:style>
  <w:style w:type="character" w:customStyle="1" w:styleId="5Char">
    <w:name w:val="标题 5 Char"/>
    <w:basedOn w:val="a0"/>
    <w:link w:val="5"/>
    <w:qFormat/>
    <w:rsid w:val="00DD438F"/>
    <w:rPr>
      <w:rFonts w:ascii="Arial" w:hAnsi="Arial"/>
      <w:sz w:val="22"/>
      <w:szCs w:val="18"/>
      <w:lang w:eastAsia="zh-CN"/>
    </w:rPr>
  </w:style>
  <w:style w:type="character" w:customStyle="1" w:styleId="6Char">
    <w:name w:val="标题 6 Char"/>
    <w:basedOn w:val="a0"/>
    <w:link w:val="6"/>
    <w:qFormat/>
    <w:rsid w:val="00DD438F"/>
    <w:rPr>
      <w:rFonts w:ascii="Arial" w:hAnsi="Arial"/>
      <w:szCs w:val="18"/>
      <w:lang w:eastAsia="zh-CN"/>
    </w:rPr>
  </w:style>
  <w:style w:type="character" w:customStyle="1" w:styleId="7Char">
    <w:name w:val="标题 7 Char"/>
    <w:basedOn w:val="a0"/>
    <w:link w:val="7"/>
    <w:qFormat/>
    <w:rsid w:val="00DD438F"/>
    <w:rPr>
      <w:rFonts w:ascii="Arial" w:hAnsi="Arial"/>
      <w:szCs w:val="18"/>
      <w:lang w:eastAsia="zh-CN"/>
    </w:rPr>
  </w:style>
  <w:style w:type="character" w:customStyle="1" w:styleId="9Char">
    <w:name w:val="标题 9 Char"/>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DD438F"/>
    <w:rPr>
      <w:rFonts w:ascii="Arial" w:eastAsia="Yu Mincho"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sid w:val="00DD438F"/>
    <w:rPr>
      <w:rFonts w:eastAsia="Yu Mincho"/>
      <w:lang w:val="en-GB" w:eastAsia="en-US"/>
    </w:rPr>
  </w:style>
  <w:style w:type="character" w:customStyle="1" w:styleId="Char8">
    <w:name w:val="脚注文本 Char"/>
    <w:basedOn w:val="a0"/>
    <w:link w:val="af1"/>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c">
    <w:name w:val="List Paragraph"/>
    <w:basedOn w:val="a"/>
    <w:link w:val="Charb"/>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Charb">
    <w:name w:val="列出段落 Char"/>
    <w:link w:val="afc"/>
    <w:uiPriority w:val="34"/>
    <w:qFormat/>
    <w:locked/>
    <w:rsid w:val="00DD438F"/>
    <w:rPr>
      <w:rFonts w:eastAsia="MS Mincho"/>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宋体"/>
      <w:b/>
    </w:rPr>
  </w:style>
  <w:style w:type="character" w:customStyle="1" w:styleId="ProposalChar">
    <w:name w:val="Proposal Char"/>
    <w:link w:val="Proposal"/>
    <w:qFormat/>
    <w:rsid w:val="00DD438F"/>
    <w:rPr>
      <w:rFonts w:eastAsia="宋体"/>
      <w:b/>
      <w:lang w:val="en-GB" w:eastAsia="en-US"/>
    </w:rPr>
  </w:style>
  <w:style w:type="table" w:customStyle="1" w:styleId="ListTable1Light-Accent51">
    <w:name w:val="List Table 1 Light - Accent 51"/>
    <w:basedOn w:val="a1"/>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5.xml><?xml version="1.0" encoding="utf-8"?>
<ds:datastoreItem xmlns:ds="http://schemas.openxmlformats.org/officeDocument/2006/customXml" ds:itemID="{F4F9217D-FD43-4062-A77C-11229527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34</Pages>
  <Words>11709</Words>
  <Characters>66744</Characters>
  <Application>Microsoft Office Word</Application>
  <DocSecurity>0</DocSecurity>
  <Lines>556</Lines>
  <Paragraphs>156</Paragraphs>
  <ScaleCrop>false</ScaleCrop>
  <Company>Huawei Technologies Co.,Ltd.</Company>
  <LinksUpToDate>false</LinksUpToDate>
  <CharactersWithSpaces>78297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Huawei</cp:lastModifiedBy>
  <cp:revision>4</cp:revision>
  <cp:lastPrinted>2019-04-25T01:09:00Z</cp:lastPrinted>
  <dcterms:created xsi:type="dcterms:W3CDTF">2021-04-15T14:15:00Z</dcterms:created>
  <dcterms:modified xsi:type="dcterms:W3CDTF">2021-04-16T01:43:00Z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