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45A5C7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CD110C">
        <w:rPr>
          <w:rFonts w:cs="Arial"/>
          <w:sz w:val="24"/>
        </w:rPr>
        <w:t>90</w:t>
      </w:r>
      <w:r>
        <w:rPr>
          <w:rFonts w:cs="Arial"/>
          <w:i/>
          <w:sz w:val="24"/>
        </w:rPr>
        <w:tab/>
      </w:r>
      <w:r>
        <w:rPr>
          <w:rFonts w:cs="Arial"/>
          <w:iCs/>
          <w:sz w:val="24"/>
        </w:rPr>
        <w:t>R4-</w:t>
      </w:r>
      <w:r w:rsidR="00F252CC">
        <w:rPr>
          <w:rFonts w:cs="Arial"/>
          <w:iCs/>
          <w:sz w:val="24"/>
        </w:rPr>
        <w:t>1900827</w:t>
      </w:r>
    </w:p>
    <w:p w14:paraId="1BC12648" w14:textId="73863253" w:rsidR="003B61A8" w:rsidRDefault="00CD110C" w:rsidP="003B61A8">
      <w:pPr>
        <w:pStyle w:val="Header"/>
        <w:tabs>
          <w:tab w:val="right" w:pos="10206"/>
        </w:tabs>
        <w:spacing w:after="120"/>
        <w:rPr>
          <w:rFonts w:cs="Arial"/>
          <w:sz w:val="24"/>
        </w:rPr>
      </w:pPr>
      <w:r>
        <w:rPr>
          <w:rFonts w:cs="Arial"/>
          <w:sz w:val="24"/>
        </w:rPr>
        <w:t>Athens</w:t>
      </w:r>
      <w:r w:rsidR="0062745C">
        <w:rPr>
          <w:rFonts w:cs="Arial"/>
          <w:sz w:val="24"/>
        </w:rPr>
        <w:t xml:space="preserve">, </w:t>
      </w:r>
      <w:r>
        <w:rPr>
          <w:rFonts w:cs="Arial"/>
          <w:sz w:val="24"/>
        </w:rPr>
        <w:t>EU</w:t>
      </w:r>
      <w:r w:rsidR="003B61A8">
        <w:rPr>
          <w:rFonts w:cs="Arial"/>
          <w:sz w:val="24"/>
        </w:rPr>
        <w:t xml:space="preserve">, </w:t>
      </w:r>
      <w:r>
        <w:rPr>
          <w:rFonts w:cs="Arial"/>
          <w:sz w:val="24"/>
        </w:rPr>
        <w:t>25</w:t>
      </w:r>
      <w:r w:rsidRPr="007170B2">
        <w:rPr>
          <w:rFonts w:cs="Arial"/>
          <w:sz w:val="24"/>
          <w:vertAlign w:val="superscript"/>
        </w:rPr>
        <w:t>th</w:t>
      </w:r>
      <w:r>
        <w:rPr>
          <w:rFonts w:cs="Arial"/>
          <w:sz w:val="24"/>
        </w:rPr>
        <w:t xml:space="preserve"> February </w:t>
      </w:r>
      <w:r w:rsidR="004B372C">
        <w:rPr>
          <w:rFonts w:cs="Arial"/>
          <w:sz w:val="24"/>
        </w:rPr>
        <w:t xml:space="preserve">– </w:t>
      </w:r>
      <w:r w:rsidR="002B0B48">
        <w:rPr>
          <w:rFonts w:cs="Arial"/>
          <w:sz w:val="24"/>
        </w:rPr>
        <w:t>1</w:t>
      </w:r>
      <w:r w:rsidR="002B0B48">
        <w:rPr>
          <w:rFonts w:cs="Arial"/>
          <w:sz w:val="24"/>
          <w:vertAlign w:val="superscript"/>
        </w:rPr>
        <w:t>st</w:t>
      </w:r>
      <w:r w:rsidR="002B0B48">
        <w:rPr>
          <w:rFonts w:cs="Arial"/>
          <w:sz w:val="24"/>
        </w:rPr>
        <w:t xml:space="preserve"> </w:t>
      </w:r>
      <w:r>
        <w:rPr>
          <w:rFonts w:cs="Arial"/>
          <w:sz w:val="24"/>
        </w:rPr>
        <w:t>March</w:t>
      </w:r>
      <w:r w:rsidR="003B61A8">
        <w:rPr>
          <w:rFonts w:cs="Arial"/>
          <w:sz w:val="24"/>
        </w:rPr>
        <w:t xml:space="preserve"> 201</w:t>
      </w:r>
      <w:r>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A7A90E5"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201FA" w:rsidRPr="00B201FA">
        <w:rPr>
          <w:rFonts w:ascii="Arial" w:hAnsi="Arial" w:cs="Arial"/>
        </w:rPr>
        <w:t>On antenna aspects related to FR1 to FR2 intermediate frequency support</w:t>
      </w:r>
    </w:p>
    <w:p w14:paraId="72798C4E" w14:textId="56B6EE4D"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552AEC">
        <w:rPr>
          <w:rFonts w:ascii="Arial" w:hAnsi="Arial" w:cs="Arial"/>
          <w:bCs/>
          <w:lang w:val="sv-SE"/>
        </w:rPr>
        <w:t>10</w:t>
      </w:r>
      <w:r w:rsidR="0062745C" w:rsidRPr="00155B44">
        <w:rPr>
          <w:rFonts w:ascii="Arial" w:hAnsi="Arial" w:cs="Arial"/>
          <w:bCs/>
          <w:lang w:val="sv-SE"/>
        </w:rPr>
        <w:t>.</w:t>
      </w:r>
      <w:r w:rsidR="00552AEC">
        <w:rPr>
          <w:rFonts w:ascii="Arial" w:hAnsi="Arial" w:cs="Arial"/>
          <w:bCs/>
          <w:lang w:val="sv-SE"/>
        </w:rPr>
        <w:t>4</w:t>
      </w:r>
      <w:r w:rsidR="0062745C" w:rsidRPr="00155B44">
        <w:rPr>
          <w:rFonts w:ascii="Arial" w:hAnsi="Arial" w:cs="Arial"/>
          <w:bCs/>
          <w:lang w:val="sv-SE"/>
        </w:rPr>
        <w:t>.</w:t>
      </w:r>
      <w:r w:rsidR="00552AEC">
        <w:rPr>
          <w:rFonts w:ascii="Arial" w:hAnsi="Arial" w:cs="Arial"/>
          <w:bCs/>
          <w:lang w:val="sv-SE"/>
        </w:rPr>
        <w:t>5</w:t>
      </w:r>
    </w:p>
    <w:p w14:paraId="3C088A4A" w14:textId="1D1D510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w:t>
      </w:r>
      <w:r w:rsidR="00B201FA">
        <w:rPr>
          <w:rFonts w:ascii="Arial" w:hAnsi="Arial" w:cs="Arial"/>
          <w:bCs/>
        </w:rPr>
        <w:t>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8A4719F" w14:textId="5ED7E187" w:rsidR="00B201FA" w:rsidRDefault="00B201FA" w:rsidP="00B201FA">
      <w:pPr>
        <w:pStyle w:val="BodyText"/>
      </w:pPr>
      <w:r>
        <w:t>At the last RAN meeting (RAN#</w:t>
      </w:r>
      <w:r w:rsidR="006E4509">
        <w:t xml:space="preserve">82 </w:t>
      </w:r>
      <w:r>
        <w:t xml:space="preserve">in </w:t>
      </w:r>
      <w:r w:rsidR="006E4509">
        <w:t>Sorrento</w:t>
      </w:r>
      <w:r>
        <w:t xml:space="preserve">) a new SI studying the feasibility of operating access radio at the intermediate frequency range </w:t>
      </w:r>
      <w:r w:rsidR="00E31BD8">
        <w:t xml:space="preserve">(7000 to 24000 MHz) </w:t>
      </w:r>
      <w:r>
        <w:t>between FR1 and FR2 was initiated. The objective of SI is not to develop requirements and specifications for</w:t>
      </w:r>
      <w:r w:rsidR="00234967">
        <w:t xml:space="preserve"> </w:t>
      </w:r>
      <w:r>
        <w:t>NR access technology</w:t>
      </w:r>
      <w:r w:rsidR="00E411F0">
        <w:t>, instead initiate an</w:t>
      </w:r>
      <w:r>
        <w:t xml:space="preserve"> </w:t>
      </w:r>
      <w:r w:rsidR="00E411F0">
        <w:t>e</w:t>
      </w:r>
      <w:r>
        <w:t>arly start of the intermediate frequency range work in RAN4</w:t>
      </w:r>
      <w:r w:rsidR="00E91F90">
        <w:t>.</w:t>
      </w:r>
      <w:r>
        <w:t xml:space="preserve"> </w:t>
      </w:r>
      <w:r w:rsidR="00E91F90">
        <w:t>The outcome would</w:t>
      </w:r>
      <w:r>
        <w:t xml:space="preserve"> be essential for development of requirements for NR </w:t>
      </w:r>
      <w:r w:rsidR="00234967">
        <w:t xml:space="preserve">later </w:t>
      </w:r>
      <w:r>
        <w:t xml:space="preserve">as well as handling </w:t>
      </w:r>
      <w:r w:rsidR="00C33557">
        <w:t>future expected</w:t>
      </w:r>
      <w:r>
        <w:t xml:space="preserve"> ITU-R related work. </w:t>
      </w:r>
    </w:p>
    <w:p w14:paraId="17A7A420" w14:textId="33FBBC67" w:rsidR="00B201FA" w:rsidRDefault="00B201FA" w:rsidP="00B201FA">
      <w:pPr>
        <w:pStyle w:val="BodyText"/>
      </w:pPr>
      <w:r>
        <w:t xml:space="preserve">A traditional base station antenna or an AAS base station </w:t>
      </w:r>
      <w:r w:rsidR="00A50C60">
        <w:t xml:space="preserve">(described in [1,2]) </w:t>
      </w:r>
      <w:r>
        <w:t xml:space="preserve">consists of </w:t>
      </w:r>
      <w:r w:rsidR="0067455F">
        <w:t xml:space="preserve">radio electronics </w:t>
      </w:r>
      <w:r w:rsidR="00293FBE">
        <w:t>an array</w:t>
      </w:r>
      <w:r>
        <w:t xml:space="preserve"> antenna protected by a</w:t>
      </w:r>
      <w:r w:rsidR="0067455F">
        <w:t xml:space="preserve"> common enclosure</w:t>
      </w:r>
      <w:r>
        <w:t xml:space="preserve">. The </w:t>
      </w:r>
      <w:r w:rsidR="00ED39D9">
        <w:t xml:space="preserve">enclosure </w:t>
      </w:r>
      <w:r>
        <w:t xml:space="preserve">protects against environmental factors, such as wind, rain, and dirt. </w:t>
      </w:r>
      <w:r w:rsidR="00A77774">
        <w:t xml:space="preserve">The enclosure protecting the antenna also referred to </w:t>
      </w:r>
      <w:r w:rsidR="00E90EEC">
        <w:t xml:space="preserve">as an antenna </w:t>
      </w:r>
      <w:proofErr w:type="spellStart"/>
      <w:r w:rsidR="002B4512">
        <w:t>radome</w:t>
      </w:r>
      <w:proofErr w:type="spellEnd"/>
      <w:r w:rsidR="002B4512">
        <w:t xml:space="preserve"> and</w:t>
      </w:r>
      <w:r w:rsidR="007916ED">
        <w:t xml:space="preserve"> </w:t>
      </w:r>
      <w:r>
        <w:t xml:space="preserve">is part of the mechanical </w:t>
      </w:r>
      <w:r w:rsidR="00E90EEC">
        <w:t xml:space="preserve">structure of the base station </w:t>
      </w:r>
      <w:r>
        <w:t xml:space="preserve">enclosure which means that industrial design aspects </w:t>
      </w:r>
      <w:r w:rsidR="001329A4">
        <w:t xml:space="preserve">and mechanical </w:t>
      </w:r>
      <w:r w:rsidR="00866A6B">
        <w:t xml:space="preserve">strength aspects </w:t>
      </w:r>
      <w:r>
        <w:t xml:space="preserve">are important. </w:t>
      </w:r>
    </w:p>
    <w:p w14:paraId="15501E6B" w14:textId="77777777" w:rsidR="00B201FA" w:rsidRDefault="00B201FA" w:rsidP="00B201FA">
      <w:pPr>
        <w:pStyle w:val="BodyText"/>
      </w:pPr>
      <w:r>
        <w:t>Regarding this contribution, the intension is:</w:t>
      </w:r>
    </w:p>
    <w:p w14:paraId="3DABAA97" w14:textId="6F8BF7B6" w:rsidR="00B201FA" w:rsidRDefault="00B201FA" w:rsidP="00B201FA">
      <w:pPr>
        <w:pStyle w:val="BodyText"/>
      </w:pPr>
      <w:r>
        <w:t>•</w:t>
      </w:r>
      <w:r>
        <w:tab/>
        <w:t>Present an overview on some important aspects for products</w:t>
      </w:r>
      <w:r w:rsidR="004F3D4C">
        <w:t xml:space="preserve"> operating within 7000 to 24000 </w:t>
      </w:r>
      <w:proofErr w:type="spellStart"/>
      <w:r w:rsidR="004F3D4C">
        <w:t>MHz</w:t>
      </w:r>
      <w:r>
        <w:t>.</w:t>
      </w:r>
      <w:proofErr w:type="spellEnd"/>
      <w:r>
        <w:t xml:space="preserve"> </w:t>
      </w:r>
    </w:p>
    <w:p w14:paraId="7DBC33C6" w14:textId="77777777" w:rsidR="00B201FA" w:rsidRDefault="00B201FA" w:rsidP="00B201FA">
      <w:pPr>
        <w:pStyle w:val="BodyText"/>
      </w:pPr>
      <w:r>
        <w:t>•</w:t>
      </w:r>
      <w:r>
        <w:tab/>
        <w:t>No intention to enforce models and mandate any implementations.</w:t>
      </w:r>
    </w:p>
    <w:p w14:paraId="381B39BA" w14:textId="77777777" w:rsidR="00B201FA" w:rsidRDefault="00B201FA" w:rsidP="00E31BD8">
      <w:pPr>
        <w:pStyle w:val="BodyText"/>
        <w:tabs>
          <w:tab w:val="left" w:pos="284"/>
        </w:tabs>
        <w:ind w:left="284" w:hanging="284"/>
      </w:pPr>
      <w:r>
        <w:t>•</w:t>
      </w:r>
      <w:r>
        <w:tab/>
        <w:t>Balance the possibilities and limitations both for receiver and transmitter including the antennas and other necessary means for efficient beam-forming.</w:t>
      </w:r>
    </w:p>
    <w:p w14:paraId="078265B9" w14:textId="77777777" w:rsidR="00B201FA" w:rsidRDefault="00B201FA" w:rsidP="00B201FA">
      <w:pPr>
        <w:pStyle w:val="BodyText"/>
      </w:pPr>
      <w:r>
        <w:t>•</w:t>
      </w:r>
      <w:r>
        <w:tab/>
        <w:t>Discuss areas that need to be considered before core requirements are settled.</w:t>
      </w:r>
    </w:p>
    <w:p w14:paraId="52829FFE" w14:textId="1682C886" w:rsidR="003B61A8" w:rsidRDefault="00B201FA" w:rsidP="003B61A8">
      <w:pPr>
        <w:pBdr>
          <w:bottom w:val="single" w:sz="4" w:space="1" w:color="auto"/>
        </w:pBdr>
      </w:pPr>
      <w:r>
        <w:t xml:space="preserve">In this contribution, we summarize the discussion on some important and fundamental aspects related to </w:t>
      </w:r>
      <w:r w:rsidR="003851EA">
        <w:t>microwave</w:t>
      </w:r>
      <w:r w:rsidR="00B25779">
        <w:t xml:space="preserve"> (7000 to 24000 MHZ)</w:t>
      </w:r>
      <w:r>
        <w:t xml:space="preserve"> technologies to better understand the performance that </w:t>
      </w:r>
      <w:r w:rsidR="003851EA">
        <w:t xml:space="preserve">the </w:t>
      </w:r>
      <w:r>
        <w:t xml:space="preserve">technology can offer but also the limitations. </w:t>
      </w:r>
    </w:p>
    <w:p w14:paraId="6E1CA3B4" w14:textId="77777777" w:rsidR="003B2125" w:rsidRDefault="003B2125"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3E5054F7" w14:textId="64716E13" w:rsidR="00B201FA" w:rsidRDefault="00B201FA" w:rsidP="00B201FA">
      <w:pPr>
        <w:pStyle w:val="BodyText"/>
      </w:pPr>
      <w:r>
        <w:t xml:space="preserve">The characteristics of the base station antenna will affect requirement levels, concepts as well as parameters used for performance simulations. </w:t>
      </w:r>
      <w:r w:rsidR="00076B56">
        <w:t xml:space="preserve">Traditionally, </w:t>
      </w:r>
      <w:r>
        <w:t>base station</w:t>
      </w:r>
      <w:r w:rsidR="00076B56">
        <w:t xml:space="preserve"> used for cellar networks</w:t>
      </w:r>
      <w:r>
        <w:t xml:space="preserve"> is utilizing array antenna techniques to achieve intended coverage</w:t>
      </w:r>
      <w:r w:rsidR="009E6B34">
        <w:t xml:space="preserve">. The array antenna is configured to </w:t>
      </w:r>
      <w:r w:rsidR="00263BEA">
        <w:t xml:space="preserve">use different types of beam-forming, e.g. </w:t>
      </w:r>
      <w:r w:rsidR="002B4512">
        <w:t>analogue</w:t>
      </w:r>
      <w:r w:rsidR="00263BEA">
        <w:t xml:space="preserve"> beam-forming</w:t>
      </w:r>
      <w:r w:rsidR="00D47522">
        <w:t>, switched b</w:t>
      </w:r>
      <w:r w:rsidR="0000231A">
        <w:t>eam-forming, digital-beam forming and variants.</w:t>
      </w:r>
      <w:r>
        <w:t xml:space="preserve"> </w:t>
      </w:r>
    </w:p>
    <w:p w14:paraId="2AD85FD9" w14:textId="32BB7517" w:rsidR="00B201FA" w:rsidRDefault="00B201FA" w:rsidP="00B201FA">
      <w:pPr>
        <w:pStyle w:val="BodyText"/>
      </w:pPr>
      <w:r>
        <w:t xml:space="preserve">For </w:t>
      </w:r>
      <w:r w:rsidR="00C620BA">
        <w:t xml:space="preserve">base stations </w:t>
      </w:r>
      <w:r>
        <w:t xml:space="preserve">operating with a set of fixed beams the directivity for a certain direction is varying </w:t>
      </w:r>
      <w:r w:rsidR="000741B0">
        <w:t xml:space="preserve">as function of direction. </w:t>
      </w:r>
      <w:r w:rsidR="00101ABA">
        <w:t xml:space="preserve">The directivity </w:t>
      </w:r>
      <w:r w:rsidR="003351F8">
        <w:t xml:space="preserve">is varying if </w:t>
      </w:r>
      <w:r>
        <w:t>the direction is aligned with beam peak direction or to the crossing between beams as the lowest archived directivity. This phenomenon is often referred to as straddling loss</w:t>
      </w:r>
      <w:r w:rsidR="003351F8">
        <w:t xml:space="preserve"> and is </w:t>
      </w:r>
      <w:r w:rsidR="003A6AF3">
        <w:t>unique</w:t>
      </w:r>
      <w:r w:rsidR="003351F8">
        <w:t xml:space="preserve"> for switch beam </w:t>
      </w:r>
      <w:r w:rsidR="003A6AF3">
        <w:t>systems</w:t>
      </w:r>
      <w:r>
        <w:t xml:space="preserve">. The straddling loss is a consequence of switching between a fixed set of beams, which is often used for analogue beamforming </w:t>
      </w:r>
      <w:r w:rsidR="00B84768">
        <w:t xml:space="preserve">for systems operating at the upper part of the </w:t>
      </w:r>
      <w:r w:rsidR="00EC01B0">
        <w:t>microwave</w:t>
      </w:r>
      <w:r>
        <w:t xml:space="preserve"> frequenc</w:t>
      </w:r>
      <w:r w:rsidR="00B84768">
        <w:t>y region</w:t>
      </w:r>
      <w:r>
        <w:t>. The straddling loss depends on the number of beams and how they are placed to create coverage within the service region.</w:t>
      </w:r>
    </w:p>
    <w:p w14:paraId="49E1D2AF" w14:textId="5FB855C4" w:rsidR="00B201FA" w:rsidRDefault="00B201FA" w:rsidP="00B201FA">
      <w:pPr>
        <w:pStyle w:val="BodyText"/>
      </w:pPr>
      <w:r>
        <w:t xml:space="preserve">For traditional base stations, all requirement was anchored at the RF connector at the transceiver or at the TAB connector for AAS base stations. The transmission loss (including matching and insertion loss) due to the feeder cable between the transceiver and antenna was not considered, since the mast feeder cable was excluded from the system.  However, for integrated base stations, without any access to the antenna reference point or RF connectors, these losses must also be considered being part of the implementation. For base stations operating at frequencies </w:t>
      </w:r>
      <w:r w:rsidR="003851EA">
        <w:t xml:space="preserve">7000 to 24000 GHz </w:t>
      </w:r>
      <w:r>
        <w:t>the transceiver electronics is tightly integrated with the array antenna. Even though, the transmission losses between single element</w:t>
      </w:r>
      <w:r w:rsidR="007E015A">
        <w:t>s</w:t>
      </w:r>
      <w:r>
        <w:t xml:space="preserve"> and the transceiver </w:t>
      </w:r>
      <w:r w:rsidR="007E015A">
        <w:t>will not be</w:t>
      </w:r>
      <w:r>
        <w:t xml:space="preserve"> neglectable. </w:t>
      </w:r>
    </w:p>
    <w:p w14:paraId="775C6F05" w14:textId="276553E9" w:rsidR="00B201FA" w:rsidRDefault="00B201FA" w:rsidP="00B201FA">
      <w:pPr>
        <w:pStyle w:val="BodyText"/>
      </w:pPr>
      <w:r>
        <w:lastRenderedPageBreak/>
        <w:t xml:space="preserve">Many different types of </w:t>
      </w:r>
      <w:r w:rsidR="007E015A">
        <w:t xml:space="preserve">base station </w:t>
      </w:r>
      <w:r>
        <w:t xml:space="preserve">implementation </w:t>
      </w:r>
      <w:r w:rsidR="007E015A">
        <w:t>are foreseen</w:t>
      </w:r>
      <w:r>
        <w:t>, w</w:t>
      </w:r>
      <w:r w:rsidR="007E015A">
        <w:t xml:space="preserve">ith different type of configuration </w:t>
      </w:r>
      <w:r>
        <w:t xml:space="preserve">of the </w:t>
      </w:r>
      <w:r w:rsidR="00973EB1" w:rsidRPr="007439E6">
        <w:rPr>
          <w:rFonts w:eastAsia="Calibri"/>
          <w:lang w:val="en-US"/>
        </w:rPr>
        <w:t>Radio Distribution Network (RDN)</w:t>
      </w:r>
      <w:r w:rsidR="007E015A">
        <w:rPr>
          <w:rFonts w:eastAsia="Calibri"/>
          <w:lang w:val="en-US"/>
        </w:rPr>
        <w:t>, ranging from</w:t>
      </w:r>
      <w:r>
        <w:t xml:space="preserve"> a single 1-to-1 mapping </w:t>
      </w:r>
      <w:r w:rsidR="007E015A">
        <w:t>to</w:t>
      </w:r>
      <w:r>
        <w:t xml:space="preserve"> a combination network </w:t>
      </w:r>
      <w:r w:rsidR="007E015A">
        <w:t xml:space="preserve">creating </w:t>
      </w:r>
      <w:r>
        <w:t>column</w:t>
      </w:r>
      <w:r w:rsidR="007E015A">
        <w:t>s</w:t>
      </w:r>
      <w:r>
        <w:t xml:space="preserve">. </w:t>
      </w:r>
      <w:r w:rsidR="007E015A">
        <w:t>Therefore</w:t>
      </w:r>
      <w:r>
        <w:t xml:space="preserve">, the signal routing from the transceiver output to the antenna element feeding point must be considered. Another aspect is that insertions loss and matching loss for band pass filters for the operating band is placed in the RDN to fulfil emission and blocking requirements. </w:t>
      </w:r>
    </w:p>
    <w:p w14:paraId="3D0A5B7B" w14:textId="51E3084B" w:rsidR="00B201FA" w:rsidRDefault="00B201FA" w:rsidP="00B201FA">
      <w:pPr>
        <w:pStyle w:val="BodyText"/>
      </w:pPr>
      <w:r>
        <w:t xml:space="preserve">For the analogue or digital up-link beam-forming, the array gain is achieved by adding signals from multiple antenna branches together coherently. The foundation for doing that is that the coherent power combination is that the system amplitude and phase characteristics is known (e.g. from in operation calibration or manufacture characterisation). </w:t>
      </w:r>
      <w:r w:rsidR="00E31BD8">
        <w:t>T</w:t>
      </w:r>
      <w:r>
        <w:t>he output SNR is proportional to N/F in the ideal case assuming perfect coherent signal combining. But due to imperfections, such as impedance matching variation between branches, an implementation margin is required</w:t>
      </w:r>
      <w:r w:rsidR="00E31BD8">
        <w:t>.</w:t>
      </w:r>
      <w:r>
        <w:t xml:space="preserve"> </w:t>
      </w:r>
    </w:p>
    <w:p w14:paraId="062BD7CD" w14:textId="1A32A20D" w:rsidR="00552AEC" w:rsidRDefault="009F2181" w:rsidP="00B201FA">
      <w:pPr>
        <w:pStyle w:val="BodyText"/>
      </w:pPr>
      <w:r w:rsidRPr="007439E6">
        <w:rPr>
          <w:lang w:val="en-US"/>
        </w:rPr>
        <w:t xml:space="preserve">In general, an array antenna design consists of several parts; radiating elements, a finite ground plane </w:t>
      </w:r>
      <w:proofErr w:type="spellStart"/>
      <w:r>
        <w:rPr>
          <w:lang w:val="en-US"/>
        </w:rPr>
        <w:t>radome</w:t>
      </w:r>
      <w:proofErr w:type="spellEnd"/>
      <w:r>
        <w:rPr>
          <w:lang w:val="en-US"/>
        </w:rPr>
        <w:t xml:space="preserve"> </w:t>
      </w:r>
      <w:r w:rsidRPr="007439E6">
        <w:rPr>
          <w:lang w:val="en-US"/>
        </w:rPr>
        <w:t xml:space="preserve">and mechanical structure components. The </w:t>
      </w:r>
      <w:r>
        <w:rPr>
          <w:lang w:val="en-US"/>
        </w:rPr>
        <w:t xml:space="preserve">radiating </w:t>
      </w:r>
      <w:r w:rsidRPr="007439E6">
        <w:rPr>
          <w:lang w:val="en-US"/>
        </w:rPr>
        <w:t>elements are typically placed in a lattice on the ground plane. The individual location of each element together with the radiation characteristics of each element determines the composite array antenna characteristics.</w:t>
      </w:r>
      <w:r>
        <w:rPr>
          <w:lang w:val="en-US"/>
        </w:rPr>
        <w:t xml:space="preserve"> </w:t>
      </w:r>
      <w:r w:rsidRPr="007439E6">
        <w:rPr>
          <w:lang w:val="en-US"/>
        </w:rPr>
        <w:t>The element characteristics in terms of radiation properties (aka. element factor) are specified by the use-case related to the deployment scenario. A wide area base station providing sector coverage very often requires more narrow elements pattern compared with medium range and local area base stations. Also, if the base station is mounted in a mast, it is reasonable to down-tilt the element for optimized ground coverage. Down-tilt can easily be realized by creating sub-array, where the phase is shifted between individual elements.</w:t>
      </w:r>
      <w:r>
        <w:rPr>
          <w:lang w:val="en-US"/>
        </w:rPr>
        <w:t xml:space="preserve"> </w:t>
      </w:r>
      <w:r>
        <w:t>T</w:t>
      </w:r>
      <w:r w:rsidR="00B201FA">
        <w:t xml:space="preserve">he </w:t>
      </w:r>
      <w:r>
        <w:t xml:space="preserve">base station </w:t>
      </w:r>
      <w:r w:rsidR="00B201FA">
        <w:t xml:space="preserve">antenna characteristics </w:t>
      </w:r>
      <w:r>
        <w:t xml:space="preserve">required by the network </w:t>
      </w:r>
      <w:r w:rsidR="00B201FA">
        <w:t>is determined by the intended coverage area or volume and propagation condition as well of implementation losses.</w:t>
      </w:r>
      <w:r>
        <w:t xml:space="preserve"> Since an antenna is a frequency tuned device, the whole array antenna design will be heavily dependent on the operating frequency</w:t>
      </w:r>
      <w:r w:rsidR="00973EB1">
        <w:t>.</w:t>
      </w:r>
      <w:r w:rsidR="00552AEC">
        <w:t xml:space="preserve"> In Figure 2-1, an overview of typical antenna apertures is visualized as function of frequency. </w:t>
      </w:r>
      <w:r w:rsidR="00973EB1">
        <w:t xml:space="preserve"> </w:t>
      </w:r>
    </w:p>
    <w:p w14:paraId="237F9ED9" w14:textId="39892FB6" w:rsidR="00552AEC" w:rsidRDefault="00552AEC" w:rsidP="00B201FA">
      <w:pPr>
        <w:pStyle w:val="BodyText"/>
      </w:pPr>
      <w:r w:rsidRPr="00552AEC">
        <w:rPr>
          <w:noProof/>
        </w:rPr>
        <w:drawing>
          <wp:inline distT="0" distB="0" distL="0" distR="0" wp14:anchorId="702DCF11" wp14:editId="46B25C71">
            <wp:extent cx="6122035" cy="2649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649930"/>
                    </a:xfrm>
                    <a:prstGeom prst="rect">
                      <a:avLst/>
                    </a:prstGeom>
                    <a:noFill/>
                    <a:ln>
                      <a:noFill/>
                    </a:ln>
                  </pic:spPr>
                </pic:pic>
              </a:graphicData>
            </a:graphic>
          </wp:inline>
        </w:drawing>
      </w:r>
    </w:p>
    <w:p w14:paraId="4486F70C" w14:textId="5EFFD525" w:rsidR="00552AEC" w:rsidRPr="008E1E0D" w:rsidRDefault="00552AEC" w:rsidP="00552AEC">
      <w:pPr>
        <w:keepLines/>
        <w:overflowPunct w:val="0"/>
        <w:autoSpaceDE w:val="0"/>
        <w:autoSpaceDN w:val="0"/>
        <w:adjustRightInd w:val="0"/>
        <w:spacing w:after="240"/>
        <w:jc w:val="center"/>
        <w:textAlignment w:val="baseline"/>
        <w:rPr>
          <w:rFonts w:ascii="Arial" w:hAnsi="Arial"/>
          <w:b/>
          <w:lang w:eastAsia="x-none"/>
        </w:rPr>
      </w:pPr>
      <w:r>
        <w:rPr>
          <w:rFonts w:ascii="Arial" w:hAnsi="Arial"/>
          <w:b/>
          <w:lang w:eastAsia="x-none"/>
        </w:rPr>
        <w:t>Figure 2-1: Antenna aperture overview</w:t>
      </w:r>
    </w:p>
    <w:p w14:paraId="505B6E8F" w14:textId="151F58F2" w:rsidR="009F2181" w:rsidRDefault="00552AEC" w:rsidP="00B201FA">
      <w:pPr>
        <w:pStyle w:val="BodyText"/>
      </w:pPr>
      <w:r>
        <w:t xml:space="preserve">At low frequencies the radiating antenna aperture is equivalent to the enclosure area, while for higher frequencies the radiating antenna aperture is scientifically smaller than the radiating antenna aperture. Since the radiating antenna aperture is rather different between FR1 and FR2, RAN4 needs to carefully study what antenna parameters to assume for the intermediate frequency region. </w:t>
      </w:r>
      <w:r w:rsidR="00B201FA">
        <w:t>In Table 2-1, a high-level overview of differences between base station antenna operating at FR1 and FR2 is listed. When introducing an intermediate frequency range between FR1 and FR2, it’s not clear how to handle parameters associated to the antenna.</w:t>
      </w:r>
      <w:r w:rsidR="009F2181">
        <w:t xml:space="preserve"> Antenna parameters are required for performance simulation and co-existence simulations part needed to defined proper RF core requirements. </w:t>
      </w:r>
      <w:r w:rsidR="00B201FA">
        <w:t xml:space="preserve"> </w:t>
      </w:r>
      <w:r w:rsidR="003B61A8">
        <w:t xml:space="preserve"> </w:t>
      </w:r>
    </w:p>
    <w:p w14:paraId="46A89F30" w14:textId="77777777" w:rsidR="00B201FA" w:rsidRPr="007C2912" w:rsidRDefault="00B201FA" w:rsidP="00B201FA">
      <w:pPr>
        <w:keepNext/>
        <w:keepLines/>
        <w:spacing w:after="0"/>
        <w:jc w:val="center"/>
        <w:rPr>
          <w:rFonts w:ascii="Arial" w:eastAsia="SimSun" w:hAnsi="Arial"/>
          <w:b/>
        </w:rPr>
      </w:pPr>
      <w:r w:rsidRPr="007C2912">
        <w:rPr>
          <w:rFonts w:ascii="Arial" w:eastAsia="SimSun" w:hAnsi="Arial"/>
          <w:b/>
        </w:rPr>
        <w:lastRenderedPageBreak/>
        <w:t xml:space="preserve">Table 2-1: Typical base station antenna parameters for FR1 and FR2 </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2693"/>
        <w:gridCol w:w="2410"/>
        <w:gridCol w:w="2565"/>
      </w:tblGrid>
      <w:tr w:rsidR="00973EB1" w:rsidRPr="000C0827" w14:paraId="536B8727" w14:textId="77777777" w:rsidTr="00973EB1">
        <w:trPr>
          <w:tblHeader/>
          <w:jc w:val="center"/>
        </w:trPr>
        <w:tc>
          <w:tcPr>
            <w:tcW w:w="1980" w:type="dxa"/>
          </w:tcPr>
          <w:p w14:paraId="4DEFD2C6" w14:textId="77777777" w:rsidR="00973EB1" w:rsidRDefault="00973EB1" w:rsidP="00F31209">
            <w:pPr>
              <w:keepNext/>
              <w:keepLines/>
              <w:spacing w:after="0"/>
              <w:jc w:val="center"/>
              <w:rPr>
                <w:rFonts w:ascii="Arial" w:hAnsi="Arial"/>
                <w:b/>
                <w:sz w:val="18"/>
              </w:rPr>
            </w:pPr>
            <w:r>
              <w:rPr>
                <w:rFonts w:ascii="Arial" w:hAnsi="Arial"/>
                <w:b/>
                <w:sz w:val="18"/>
              </w:rPr>
              <w:t>Parameters</w:t>
            </w:r>
          </w:p>
        </w:tc>
        <w:tc>
          <w:tcPr>
            <w:tcW w:w="2693" w:type="dxa"/>
            <w:shd w:val="clear" w:color="auto" w:fill="auto"/>
          </w:tcPr>
          <w:p w14:paraId="0475C3B6" w14:textId="6A8F711C" w:rsidR="00973EB1" w:rsidRPr="000C0827" w:rsidRDefault="00973EB1" w:rsidP="00F31209">
            <w:pPr>
              <w:keepNext/>
              <w:keepLines/>
              <w:spacing w:after="0"/>
              <w:jc w:val="center"/>
              <w:rPr>
                <w:rFonts w:ascii="Arial" w:hAnsi="Arial"/>
                <w:b/>
                <w:sz w:val="18"/>
              </w:rPr>
            </w:pPr>
            <w:r>
              <w:rPr>
                <w:rFonts w:ascii="Arial" w:hAnsi="Arial"/>
                <w:b/>
                <w:sz w:val="18"/>
              </w:rPr>
              <w:t>FR1 (450 to 6000 MHz)</w:t>
            </w:r>
          </w:p>
        </w:tc>
        <w:tc>
          <w:tcPr>
            <w:tcW w:w="2410" w:type="dxa"/>
          </w:tcPr>
          <w:p w14:paraId="40F560E6" w14:textId="53C3F037" w:rsidR="00973EB1" w:rsidRDefault="00973EB1" w:rsidP="00F31209">
            <w:pPr>
              <w:keepNext/>
              <w:keepLines/>
              <w:spacing w:after="0"/>
              <w:jc w:val="center"/>
              <w:rPr>
                <w:rFonts w:ascii="Arial" w:hAnsi="Arial"/>
                <w:b/>
                <w:sz w:val="18"/>
              </w:rPr>
            </w:pPr>
            <w:r>
              <w:rPr>
                <w:rFonts w:ascii="Arial" w:hAnsi="Arial"/>
                <w:b/>
                <w:sz w:val="18"/>
              </w:rPr>
              <w:t>7000 to 24000 MHz</w:t>
            </w:r>
          </w:p>
        </w:tc>
        <w:tc>
          <w:tcPr>
            <w:tcW w:w="2565" w:type="dxa"/>
          </w:tcPr>
          <w:p w14:paraId="34E1BF10" w14:textId="1EE48CAC" w:rsidR="00973EB1" w:rsidRDefault="00973EB1" w:rsidP="00F31209">
            <w:pPr>
              <w:keepNext/>
              <w:keepLines/>
              <w:spacing w:after="0"/>
              <w:jc w:val="center"/>
              <w:rPr>
                <w:rFonts w:ascii="Arial" w:hAnsi="Arial"/>
                <w:b/>
                <w:sz w:val="18"/>
              </w:rPr>
            </w:pPr>
            <w:r>
              <w:rPr>
                <w:rFonts w:ascii="Arial" w:hAnsi="Arial"/>
                <w:b/>
                <w:sz w:val="18"/>
              </w:rPr>
              <w:t>FR2 (24250 to 52600 MHz)</w:t>
            </w:r>
          </w:p>
        </w:tc>
      </w:tr>
      <w:tr w:rsidR="00973EB1" w:rsidRPr="000C0827" w14:paraId="5970899D" w14:textId="77777777" w:rsidTr="00973EB1">
        <w:trPr>
          <w:jc w:val="center"/>
        </w:trPr>
        <w:tc>
          <w:tcPr>
            <w:tcW w:w="1980" w:type="dxa"/>
          </w:tcPr>
          <w:p w14:paraId="5F2CC1CD" w14:textId="77777777" w:rsidR="00973EB1" w:rsidRDefault="00973EB1" w:rsidP="00F31209">
            <w:pPr>
              <w:keepNext/>
              <w:keepLines/>
              <w:spacing w:after="0"/>
              <w:jc w:val="center"/>
              <w:rPr>
                <w:rFonts w:ascii="Arial" w:hAnsi="Arial"/>
                <w:sz w:val="18"/>
                <w:szCs w:val="18"/>
                <w:lang w:eastAsia="zh-CN"/>
              </w:rPr>
            </w:pPr>
            <w:r>
              <w:rPr>
                <w:rFonts w:ascii="Arial" w:hAnsi="Arial"/>
                <w:sz w:val="18"/>
                <w:szCs w:val="18"/>
                <w:lang w:eastAsia="zh-CN"/>
              </w:rPr>
              <w:t>Radiating element types</w:t>
            </w:r>
          </w:p>
        </w:tc>
        <w:tc>
          <w:tcPr>
            <w:tcW w:w="2693" w:type="dxa"/>
            <w:shd w:val="clear" w:color="auto" w:fill="auto"/>
          </w:tcPr>
          <w:p w14:paraId="5313BF1F" w14:textId="77777777" w:rsidR="00973EB1" w:rsidRDefault="00973EB1" w:rsidP="00F31209">
            <w:pPr>
              <w:keepNext/>
              <w:keepLines/>
              <w:spacing w:after="0"/>
              <w:jc w:val="center"/>
              <w:rPr>
                <w:rFonts w:ascii="Arial" w:hAnsi="Arial"/>
                <w:sz w:val="18"/>
                <w:szCs w:val="18"/>
                <w:lang w:eastAsia="zh-CN"/>
              </w:rPr>
            </w:pPr>
            <w:r>
              <w:rPr>
                <w:rFonts w:ascii="Arial" w:hAnsi="Arial"/>
                <w:sz w:val="18"/>
                <w:szCs w:val="18"/>
                <w:lang w:eastAsia="zh-CN"/>
              </w:rPr>
              <w:t>Dipole</w:t>
            </w:r>
          </w:p>
        </w:tc>
        <w:tc>
          <w:tcPr>
            <w:tcW w:w="2410" w:type="dxa"/>
            <w:vMerge w:val="restart"/>
          </w:tcPr>
          <w:p w14:paraId="263F3E94" w14:textId="77777777" w:rsidR="00973EB1" w:rsidRDefault="00973EB1" w:rsidP="00F31209">
            <w:pPr>
              <w:keepNext/>
              <w:keepLines/>
              <w:spacing w:after="0"/>
              <w:jc w:val="center"/>
              <w:rPr>
                <w:rFonts w:ascii="Arial" w:hAnsi="Arial"/>
                <w:sz w:val="18"/>
                <w:szCs w:val="18"/>
                <w:lang w:eastAsia="zh-CN"/>
              </w:rPr>
            </w:pPr>
          </w:p>
          <w:p w14:paraId="216FA659" w14:textId="77777777" w:rsidR="00973EB1" w:rsidRDefault="00973EB1" w:rsidP="00F31209">
            <w:pPr>
              <w:keepNext/>
              <w:keepLines/>
              <w:spacing w:after="0"/>
              <w:jc w:val="center"/>
              <w:rPr>
                <w:rFonts w:ascii="Arial" w:hAnsi="Arial"/>
                <w:sz w:val="18"/>
                <w:szCs w:val="18"/>
                <w:lang w:eastAsia="zh-CN"/>
              </w:rPr>
            </w:pPr>
          </w:p>
          <w:p w14:paraId="5D394350" w14:textId="77777777" w:rsidR="00973EB1" w:rsidRDefault="00973EB1" w:rsidP="00F31209">
            <w:pPr>
              <w:keepNext/>
              <w:keepLines/>
              <w:spacing w:after="0"/>
              <w:jc w:val="center"/>
              <w:rPr>
                <w:rFonts w:ascii="Arial" w:hAnsi="Arial"/>
                <w:sz w:val="18"/>
                <w:szCs w:val="18"/>
                <w:lang w:eastAsia="zh-CN"/>
              </w:rPr>
            </w:pPr>
          </w:p>
          <w:p w14:paraId="1A3773A4" w14:textId="0BB953A7" w:rsidR="00973EB1" w:rsidRDefault="00973EB1" w:rsidP="00F31209">
            <w:pPr>
              <w:keepNext/>
              <w:keepLines/>
              <w:spacing w:after="0"/>
              <w:jc w:val="center"/>
              <w:rPr>
                <w:rFonts w:ascii="Arial" w:hAnsi="Arial"/>
                <w:sz w:val="18"/>
                <w:szCs w:val="18"/>
                <w:lang w:eastAsia="zh-CN"/>
              </w:rPr>
            </w:pPr>
          </w:p>
          <w:p w14:paraId="5FCADC59" w14:textId="77777777" w:rsidR="00973EB1" w:rsidRDefault="00973EB1" w:rsidP="00F31209">
            <w:pPr>
              <w:keepNext/>
              <w:keepLines/>
              <w:spacing w:after="0"/>
              <w:jc w:val="center"/>
              <w:rPr>
                <w:rFonts w:ascii="Arial" w:hAnsi="Arial"/>
                <w:sz w:val="18"/>
                <w:szCs w:val="18"/>
                <w:lang w:eastAsia="zh-CN"/>
              </w:rPr>
            </w:pPr>
          </w:p>
          <w:p w14:paraId="55F259F6" w14:textId="77777777" w:rsidR="00973EB1" w:rsidRDefault="00973EB1" w:rsidP="00F31209">
            <w:pPr>
              <w:keepNext/>
              <w:keepLines/>
              <w:spacing w:after="0"/>
              <w:jc w:val="center"/>
              <w:rPr>
                <w:rFonts w:ascii="Arial" w:hAnsi="Arial"/>
                <w:sz w:val="18"/>
                <w:szCs w:val="18"/>
                <w:lang w:eastAsia="zh-CN"/>
              </w:rPr>
            </w:pPr>
          </w:p>
          <w:p w14:paraId="6C41A7E5" w14:textId="11380B4E" w:rsidR="00973EB1" w:rsidRDefault="00973EB1" w:rsidP="00973EB1">
            <w:pPr>
              <w:keepNext/>
              <w:keepLines/>
              <w:spacing w:after="0"/>
              <w:rPr>
                <w:rFonts w:ascii="Arial" w:hAnsi="Arial"/>
                <w:sz w:val="18"/>
                <w:szCs w:val="18"/>
                <w:lang w:eastAsia="zh-CN"/>
              </w:rPr>
            </w:pPr>
          </w:p>
          <w:p w14:paraId="2CE4B5D7" w14:textId="77777777" w:rsidR="009312CB" w:rsidRDefault="009312CB" w:rsidP="00F31209">
            <w:pPr>
              <w:keepNext/>
              <w:keepLines/>
              <w:spacing w:after="0"/>
              <w:jc w:val="center"/>
              <w:rPr>
                <w:rFonts w:ascii="Arial" w:hAnsi="Arial"/>
                <w:sz w:val="18"/>
                <w:szCs w:val="18"/>
                <w:lang w:eastAsia="zh-CN"/>
              </w:rPr>
            </w:pPr>
          </w:p>
          <w:p w14:paraId="6FB04A68" w14:textId="6A67D85F" w:rsidR="00973EB1" w:rsidRDefault="00973EB1" w:rsidP="00F31209">
            <w:pPr>
              <w:keepNext/>
              <w:keepLines/>
              <w:spacing w:after="0"/>
              <w:jc w:val="center"/>
              <w:rPr>
                <w:rFonts w:ascii="Arial" w:hAnsi="Arial"/>
                <w:sz w:val="18"/>
                <w:szCs w:val="18"/>
                <w:lang w:eastAsia="zh-CN"/>
              </w:rPr>
            </w:pPr>
            <w:r>
              <w:rPr>
                <w:rFonts w:ascii="Arial" w:hAnsi="Arial"/>
                <w:sz w:val="18"/>
                <w:szCs w:val="18"/>
                <w:lang w:eastAsia="zh-CN"/>
              </w:rPr>
              <w:t>?</w:t>
            </w:r>
          </w:p>
        </w:tc>
        <w:tc>
          <w:tcPr>
            <w:tcW w:w="2565" w:type="dxa"/>
          </w:tcPr>
          <w:p w14:paraId="3797E673" w14:textId="0967D703" w:rsidR="00973EB1" w:rsidRDefault="00973EB1" w:rsidP="00F31209">
            <w:pPr>
              <w:keepNext/>
              <w:keepLines/>
              <w:spacing w:after="0"/>
              <w:jc w:val="center"/>
              <w:rPr>
                <w:rFonts w:ascii="Arial" w:hAnsi="Arial"/>
                <w:sz w:val="18"/>
                <w:szCs w:val="18"/>
                <w:lang w:eastAsia="zh-CN"/>
              </w:rPr>
            </w:pPr>
            <w:r>
              <w:rPr>
                <w:rFonts w:ascii="Arial" w:hAnsi="Arial"/>
                <w:sz w:val="18"/>
                <w:szCs w:val="18"/>
                <w:lang w:eastAsia="zh-CN"/>
              </w:rPr>
              <w:t>Patch</w:t>
            </w:r>
          </w:p>
        </w:tc>
      </w:tr>
      <w:tr w:rsidR="00973EB1" w:rsidRPr="000C0827" w14:paraId="0DDA87A7" w14:textId="77777777" w:rsidTr="00973EB1">
        <w:trPr>
          <w:jc w:val="center"/>
        </w:trPr>
        <w:tc>
          <w:tcPr>
            <w:tcW w:w="1980" w:type="dxa"/>
          </w:tcPr>
          <w:p w14:paraId="4D5C42F2" w14:textId="77777777" w:rsidR="00973EB1" w:rsidRDefault="00973EB1" w:rsidP="00F31209">
            <w:pPr>
              <w:keepNext/>
              <w:keepLines/>
              <w:spacing w:after="0"/>
              <w:jc w:val="center"/>
              <w:rPr>
                <w:rFonts w:ascii="Arial" w:hAnsi="Arial"/>
                <w:sz w:val="18"/>
                <w:szCs w:val="18"/>
                <w:lang w:eastAsia="zh-CN"/>
              </w:rPr>
            </w:pPr>
            <w:r>
              <w:rPr>
                <w:rFonts w:ascii="Arial" w:hAnsi="Arial"/>
                <w:sz w:val="18"/>
                <w:szCs w:val="18"/>
                <w:lang w:eastAsia="zh-CN"/>
              </w:rPr>
              <w:t>Antenna aperture geometry</w:t>
            </w:r>
          </w:p>
        </w:tc>
        <w:tc>
          <w:tcPr>
            <w:tcW w:w="2693" w:type="dxa"/>
            <w:shd w:val="clear" w:color="auto" w:fill="auto"/>
          </w:tcPr>
          <w:p w14:paraId="678121DE" w14:textId="77777777" w:rsidR="00973EB1" w:rsidRPr="000C0827" w:rsidRDefault="00973EB1" w:rsidP="00F31209">
            <w:pPr>
              <w:keepNext/>
              <w:keepLines/>
              <w:spacing w:after="0"/>
              <w:jc w:val="center"/>
              <w:rPr>
                <w:rFonts w:ascii="Arial" w:hAnsi="Arial"/>
                <w:sz w:val="18"/>
                <w:szCs w:val="18"/>
                <w:lang w:eastAsia="zh-CN"/>
              </w:rPr>
            </w:pPr>
            <w:r>
              <w:rPr>
                <w:rFonts w:ascii="Arial" w:hAnsi="Arial"/>
                <w:sz w:val="18"/>
                <w:szCs w:val="18"/>
                <w:lang w:eastAsia="zh-CN"/>
              </w:rPr>
              <w:t>The antenna aperture tends to be rectangular with the largest dimension in the vertical domain</w:t>
            </w:r>
          </w:p>
        </w:tc>
        <w:tc>
          <w:tcPr>
            <w:tcW w:w="2410" w:type="dxa"/>
            <w:vMerge/>
          </w:tcPr>
          <w:p w14:paraId="5A5E729E" w14:textId="77777777" w:rsidR="00973EB1" w:rsidRDefault="00973EB1" w:rsidP="00F31209">
            <w:pPr>
              <w:keepNext/>
              <w:keepLines/>
              <w:spacing w:after="0"/>
              <w:jc w:val="center"/>
              <w:rPr>
                <w:rFonts w:ascii="Arial" w:hAnsi="Arial"/>
                <w:sz w:val="18"/>
                <w:szCs w:val="18"/>
                <w:lang w:eastAsia="zh-CN"/>
              </w:rPr>
            </w:pPr>
          </w:p>
        </w:tc>
        <w:tc>
          <w:tcPr>
            <w:tcW w:w="2565" w:type="dxa"/>
          </w:tcPr>
          <w:p w14:paraId="5FFD2753" w14:textId="1387C35D" w:rsidR="00973EB1" w:rsidRDefault="00973EB1" w:rsidP="00F31209">
            <w:pPr>
              <w:keepNext/>
              <w:keepLines/>
              <w:spacing w:after="0"/>
              <w:jc w:val="center"/>
              <w:rPr>
                <w:rFonts w:ascii="Arial" w:hAnsi="Arial"/>
                <w:sz w:val="18"/>
                <w:szCs w:val="18"/>
                <w:lang w:eastAsia="zh-CN"/>
              </w:rPr>
            </w:pPr>
            <w:r>
              <w:rPr>
                <w:rFonts w:ascii="Arial" w:hAnsi="Arial"/>
                <w:sz w:val="18"/>
                <w:szCs w:val="18"/>
                <w:lang w:eastAsia="zh-CN"/>
              </w:rPr>
              <w:t>The antenna aperture tends to be rectangular with the largest dimension in the horizontal domain</w:t>
            </w:r>
          </w:p>
        </w:tc>
      </w:tr>
      <w:tr w:rsidR="00973EB1" w:rsidRPr="000C0827" w14:paraId="35F17EF2" w14:textId="77777777" w:rsidTr="00973EB1">
        <w:trPr>
          <w:jc w:val="center"/>
        </w:trPr>
        <w:tc>
          <w:tcPr>
            <w:tcW w:w="1980" w:type="dxa"/>
          </w:tcPr>
          <w:p w14:paraId="1392C5BF"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Antenna aperture size</w:t>
            </w:r>
          </w:p>
        </w:tc>
        <w:tc>
          <w:tcPr>
            <w:tcW w:w="2693" w:type="dxa"/>
            <w:shd w:val="clear" w:color="auto" w:fill="auto"/>
          </w:tcPr>
          <w:p w14:paraId="00B8ED15" w14:textId="77777777" w:rsidR="00973EB1" w:rsidRPr="000C0827" w:rsidRDefault="00973EB1" w:rsidP="00F31209">
            <w:pPr>
              <w:keepNext/>
              <w:keepLines/>
              <w:spacing w:after="0"/>
              <w:jc w:val="center"/>
              <w:rPr>
                <w:rFonts w:ascii="Arial" w:hAnsi="Arial"/>
                <w:sz w:val="18"/>
                <w:lang w:eastAsia="x-none"/>
              </w:rPr>
            </w:pPr>
            <w:r>
              <w:rPr>
                <w:rFonts w:ascii="Arial" w:hAnsi="Arial"/>
                <w:sz w:val="18"/>
                <w:lang w:eastAsia="x-none"/>
              </w:rPr>
              <w:t>The antenna aperture is in the approximately the same size as the front of the base station encapsulation</w:t>
            </w:r>
          </w:p>
        </w:tc>
        <w:tc>
          <w:tcPr>
            <w:tcW w:w="2410" w:type="dxa"/>
            <w:vMerge/>
          </w:tcPr>
          <w:p w14:paraId="787424A1" w14:textId="77777777" w:rsidR="00973EB1" w:rsidRDefault="00973EB1" w:rsidP="00F31209">
            <w:pPr>
              <w:keepNext/>
              <w:keepLines/>
              <w:spacing w:after="0"/>
              <w:jc w:val="center"/>
              <w:rPr>
                <w:rFonts w:ascii="Arial" w:hAnsi="Arial"/>
                <w:sz w:val="18"/>
                <w:lang w:eastAsia="x-none"/>
              </w:rPr>
            </w:pPr>
          </w:p>
        </w:tc>
        <w:tc>
          <w:tcPr>
            <w:tcW w:w="2565" w:type="dxa"/>
          </w:tcPr>
          <w:p w14:paraId="516BF70D" w14:textId="025B024E" w:rsidR="00973EB1" w:rsidRDefault="00973EB1" w:rsidP="00F31209">
            <w:pPr>
              <w:keepNext/>
              <w:keepLines/>
              <w:spacing w:after="0"/>
              <w:jc w:val="center"/>
              <w:rPr>
                <w:rFonts w:ascii="Arial" w:hAnsi="Arial"/>
                <w:sz w:val="18"/>
                <w:lang w:eastAsia="x-none"/>
              </w:rPr>
            </w:pPr>
            <w:r>
              <w:rPr>
                <w:rFonts w:ascii="Arial" w:hAnsi="Arial"/>
                <w:sz w:val="18"/>
                <w:lang w:eastAsia="x-none"/>
              </w:rPr>
              <w:t>The antenna aperture is smaller than the base station encapsulation</w:t>
            </w:r>
          </w:p>
        </w:tc>
      </w:tr>
      <w:tr w:rsidR="00552AEC" w:rsidRPr="000C0827" w14:paraId="30B5D781" w14:textId="77777777" w:rsidTr="00973EB1">
        <w:trPr>
          <w:jc w:val="center"/>
        </w:trPr>
        <w:tc>
          <w:tcPr>
            <w:tcW w:w="1980" w:type="dxa"/>
          </w:tcPr>
          <w:p w14:paraId="257FA747" w14:textId="5F18B315" w:rsidR="00552AEC" w:rsidRDefault="00552AEC" w:rsidP="00F31209">
            <w:pPr>
              <w:keepNext/>
              <w:keepLines/>
              <w:spacing w:after="0"/>
              <w:jc w:val="center"/>
              <w:rPr>
                <w:rFonts w:ascii="Arial" w:hAnsi="Arial"/>
                <w:sz w:val="18"/>
                <w:lang w:eastAsia="x-none"/>
              </w:rPr>
            </w:pPr>
            <w:r>
              <w:rPr>
                <w:rFonts w:ascii="Arial" w:hAnsi="Arial"/>
                <w:sz w:val="18"/>
                <w:lang w:eastAsia="x-none"/>
              </w:rPr>
              <w:t>Element configuration</w:t>
            </w:r>
          </w:p>
        </w:tc>
        <w:tc>
          <w:tcPr>
            <w:tcW w:w="2693" w:type="dxa"/>
            <w:shd w:val="clear" w:color="auto" w:fill="auto"/>
          </w:tcPr>
          <w:p w14:paraId="2D411141" w14:textId="5CDACB64" w:rsidR="00552AEC" w:rsidRDefault="00552AEC" w:rsidP="00F31209">
            <w:pPr>
              <w:keepNext/>
              <w:keepLines/>
              <w:spacing w:after="0"/>
              <w:jc w:val="center"/>
              <w:rPr>
                <w:rFonts w:ascii="Arial" w:hAnsi="Arial"/>
                <w:sz w:val="18"/>
                <w:lang w:eastAsia="x-none"/>
              </w:rPr>
            </w:pPr>
            <w:r>
              <w:rPr>
                <w:rFonts w:ascii="Arial" w:hAnsi="Arial"/>
                <w:sz w:val="18"/>
                <w:lang w:eastAsia="x-none"/>
              </w:rPr>
              <w:t>Sub-elements</w:t>
            </w:r>
          </w:p>
        </w:tc>
        <w:tc>
          <w:tcPr>
            <w:tcW w:w="2410" w:type="dxa"/>
            <w:vMerge/>
          </w:tcPr>
          <w:p w14:paraId="343FC8E0" w14:textId="77777777" w:rsidR="00552AEC" w:rsidRDefault="00552AEC" w:rsidP="00F31209">
            <w:pPr>
              <w:keepNext/>
              <w:keepLines/>
              <w:spacing w:after="0"/>
              <w:jc w:val="center"/>
              <w:rPr>
                <w:rFonts w:ascii="Arial" w:hAnsi="Arial"/>
                <w:sz w:val="18"/>
                <w:lang w:eastAsia="x-none"/>
              </w:rPr>
            </w:pPr>
          </w:p>
        </w:tc>
        <w:tc>
          <w:tcPr>
            <w:tcW w:w="2565" w:type="dxa"/>
          </w:tcPr>
          <w:p w14:paraId="0E0A0030" w14:textId="2BA7326A" w:rsidR="00552AEC" w:rsidRDefault="00552AEC" w:rsidP="00F31209">
            <w:pPr>
              <w:keepNext/>
              <w:keepLines/>
              <w:spacing w:after="0"/>
              <w:jc w:val="center"/>
              <w:rPr>
                <w:rFonts w:ascii="Arial" w:hAnsi="Arial"/>
                <w:sz w:val="18"/>
                <w:lang w:eastAsia="x-none"/>
              </w:rPr>
            </w:pPr>
            <w:r>
              <w:rPr>
                <w:rFonts w:ascii="Arial" w:hAnsi="Arial"/>
                <w:sz w:val="18"/>
                <w:lang w:eastAsia="x-none"/>
              </w:rPr>
              <w:t>Single element</w:t>
            </w:r>
          </w:p>
        </w:tc>
      </w:tr>
      <w:tr w:rsidR="00973EB1" w:rsidRPr="000C0827" w14:paraId="106A1B01" w14:textId="77777777" w:rsidTr="00973EB1">
        <w:trPr>
          <w:jc w:val="center"/>
        </w:trPr>
        <w:tc>
          <w:tcPr>
            <w:tcW w:w="1980" w:type="dxa"/>
          </w:tcPr>
          <w:p w14:paraId="0C9FEB53"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Polarization support</w:t>
            </w:r>
          </w:p>
        </w:tc>
        <w:tc>
          <w:tcPr>
            <w:tcW w:w="2693" w:type="dxa"/>
            <w:shd w:val="clear" w:color="auto" w:fill="auto"/>
          </w:tcPr>
          <w:p w14:paraId="6E1387B9"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Dual polarization</w:t>
            </w:r>
          </w:p>
        </w:tc>
        <w:tc>
          <w:tcPr>
            <w:tcW w:w="2410" w:type="dxa"/>
            <w:vMerge/>
          </w:tcPr>
          <w:p w14:paraId="6ABCE085" w14:textId="77777777" w:rsidR="00973EB1" w:rsidRDefault="00973EB1" w:rsidP="00F31209">
            <w:pPr>
              <w:keepNext/>
              <w:keepLines/>
              <w:spacing w:after="0"/>
              <w:jc w:val="center"/>
              <w:rPr>
                <w:rFonts w:ascii="Arial" w:hAnsi="Arial"/>
                <w:sz w:val="18"/>
                <w:lang w:eastAsia="x-none"/>
              </w:rPr>
            </w:pPr>
          </w:p>
        </w:tc>
        <w:tc>
          <w:tcPr>
            <w:tcW w:w="2565" w:type="dxa"/>
          </w:tcPr>
          <w:p w14:paraId="7E4AA35D" w14:textId="69BF4B69" w:rsidR="00973EB1" w:rsidRDefault="00973EB1" w:rsidP="00F31209">
            <w:pPr>
              <w:keepNext/>
              <w:keepLines/>
              <w:spacing w:after="0"/>
              <w:jc w:val="center"/>
              <w:rPr>
                <w:rFonts w:ascii="Arial" w:hAnsi="Arial"/>
                <w:sz w:val="18"/>
                <w:lang w:eastAsia="x-none"/>
              </w:rPr>
            </w:pPr>
            <w:r>
              <w:rPr>
                <w:rFonts w:ascii="Arial" w:hAnsi="Arial"/>
                <w:sz w:val="18"/>
                <w:lang w:eastAsia="x-none"/>
              </w:rPr>
              <w:t>Dual polarization</w:t>
            </w:r>
          </w:p>
        </w:tc>
      </w:tr>
      <w:tr w:rsidR="00973EB1" w:rsidRPr="000C0827" w14:paraId="3193A36A" w14:textId="77777777" w:rsidTr="00973EB1">
        <w:trPr>
          <w:jc w:val="center"/>
        </w:trPr>
        <w:tc>
          <w:tcPr>
            <w:tcW w:w="1980" w:type="dxa"/>
          </w:tcPr>
          <w:p w14:paraId="519A9E59"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Polarization orientation</w:t>
            </w:r>
          </w:p>
        </w:tc>
        <w:tc>
          <w:tcPr>
            <w:tcW w:w="2693" w:type="dxa"/>
            <w:shd w:val="clear" w:color="auto" w:fill="auto"/>
          </w:tcPr>
          <w:p w14:paraId="33B9A3E2"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+/- 45 degrees</w:t>
            </w:r>
          </w:p>
        </w:tc>
        <w:tc>
          <w:tcPr>
            <w:tcW w:w="2410" w:type="dxa"/>
            <w:vMerge/>
          </w:tcPr>
          <w:p w14:paraId="78740320" w14:textId="77777777" w:rsidR="00973EB1" w:rsidRDefault="00973EB1" w:rsidP="00F31209">
            <w:pPr>
              <w:keepNext/>
              <w:keepLines/>
              <w:spacing w:after="0"/>
              <w:jc w:val="center"/>
              <w:rPr>
                <w:rFonts w:ascii="Arial" w:hAnsi="Arial"/>
                <w:sz w:val="18"/>
                <w:lang w:eastAsia="x-none"/>
              </w:rPr>
            </w:pPr>
          </w:p>
        </w:tc>
        <w:tc>
          <w:tcPr>
            <w:tcW w:w="2565" w:type="dxa"/>
          </w:tcPr>
          <w:p w14:paraId="73D0EFFD" w14:textId="49DE83D3" w:rsidR="00973EB1" w:rsidRDefault="00973EB1" w:rsidP="00F31209">
            <w:pPr>
              <w:keepNext/>
              <w:keepLines/>
              <w:spacing w:after="0"/>
              <w:jc w:val="center"/>
              <w:rPr>
                <w:rFonts w:ascii="Arial" w:hAnsi="Arial"/>
                <w:sz w:val="18"/>
                <w:lang w:eastAsia="x-none"/>
              </w:rPr>
            </w:pPr>
            <w:r>
              <w:rPr>
                <w:rFonts w:ascii="Arial" w:hAnsi="Arial"/>
                <w:sz w:val="18"/>
                <w:lang w:eastAsia="x-none"/>
              </w:rPr>
              <w:t>V/H</w:t>
            </w:r>
          </w:p>
        </w:tc>
      </w:tr>
      <w:tr w:rsidR="00973EB1" w:rsidRPr="000C0827" w14:paraId="13A7CED0" w14:textId="77777777" w:rsidTr="00973EB1">
        <w:trPr>
          <w:jc w:val="center"/>
        </w:trPr>
        <w:tc>
          <w:tcPr>
            <w:tcW w:w="1980" w:type="dxa"/>
          </w:tcPr>
          <w:p w14:paraId="07F0DF92"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Beamforming</w:t>
            </w:r>
          </w:p>
        </w:tc>
        <w:tc>
          <w:tcPr>
            <w:tcW w:w="2693" w:type="dxa"/>
            <w:shd w:val="clear" w:color="auto" w:fill="auto"/>
          </w:tcPr>
          <w:p w14:paraId="3EBD9125"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 xml:space="preserve">Passive </w:t>
            </w:r>
            <w:proofErr w:type="spellStart"/>
            <w:r>
              <w:rPr>
                <w:rFonts w:ascii="Arial" w:hAnsi="Arial"/>
                <w:sz w:val="18"/>
                <w:lang w:eastAsia="x-none"/>
              </w:rPr>
              <w:t>analog</w:t>
            </w:r>
            <w:proofErr w:type="spellEnd"/>
            <w:r>
              <w:rPr>
                <w:rFonts w:ascii="Arial" w:hAnsi="Arial"/>
                <w:sz w:val="18"/>
                <w:lang w:eastAsia="x-none"/>
              </w:rPr>
              <w:t xml:space="preserve"> and Digital</w:t>
            </w:r>
          </w:p>
        </w:tc>
        <w:tc>
          <w:tcPr>
            <w:tcW w:w="2410" w:type="dxa"/>
            <w:vMerge/>
          </w:tcPr>
          <w:p w14:paraId="50AC4092" w14:textId="77777777" w:rsidR="00973EB1" w:rsidRDefault="00973EB1" w:rsidP="00F31209">
            <w:pPr>
              <w:keepNext/>
              <w:keepLines/>
              <w:spacing w:after="0"/>
              <w:jc w:val="center"/>
              <w:rPr>
                <w:rFonts w:ascii="Arial" w:hAnsi="Arial"/>
                <w:sz w:val="18"/>
                <w:lang w:eastAsia="x-none"/>
              </w:rPr>
            </w:pPr>
          </w:p>
        </w:tc>
        <w:tc>
          <w:tcPr>
            <w:tcW w:w="2565" w:type="dxa"/>
          </w:tcPr>
          <w:p w14:paraId="09761F9F" w14:textId="69392779" w:rsidR="00973EB1" w:rsidRDefault="00973EB1" w:rsidP="00F31209">
            <w:pPr>
              <w:keepNext/>
              <w:keepLines/>
              <w:spacing w:after="0"/>
              <w:jc w:val="center"/>
              <w:rPr>
                <w:rFonts w:ascii="Arial" w:hAnsi="Arial"/>
                <w:sz w:val="18"/>
                <w:lang w:eastAsia="x-none"/>
              </w:rPr>
            </w:pPr>
            <w:r>
              <w:rPr>
                <w:rFonts w:ascii="Arial" w:hAnsi="Arial"/>
                <w:sz w:val="18"/>
                <w:lang w:eastAsia="x-none"/>
              </w:rPr>
              <w:t xml:space="preserve">Analog switched beam </w:t>
            </w:r>
          </w:p>
        </w:tc>
      </w:tr>
      <w:tr w:rsidR="00973EB1" w:rsidRPr="000C0827" w14:paraId="61224702" w14:textId="77777777" w:rsidTr="00973EB1">
        <w:trPr>
          <w:jc w:val="center"/>
        </w:trPr>
        <w:tc>
          <w:tcPr>
            <w:tcW w:w="1980" w:type="dxa"/>
          </w:tcPr>
          <w:p w14:paraId="27B5AFF2"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 xml:space="preserve">Transmission loss </w:t>
            </w:r>
          </w:p>
        </w:tc>
        <w:tc>
          <w:tcPr>
            <w:tcW w:w="2693" w:type="dxa"/>
            <w:shd w:val="clear" w:color="auto" w:fill="auto"/>
          </w:tcPr>
          <w:p w14:paraId="002B9B1A"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Low</w:t>
            </w:r>
          </w:p>
        </w:tc>
        <w:tc>
          <w:tcPr>
            <w:tcW w:w="2410" w:type="dxa"/>
            <w:vMerge/>
          </w:tcPr>
          <w:p w14:paraId="0820560E" w14:textId="77777777" w:rsidR="00973EB1" w:rsidRDefault="00973EB1" w:rsidP="00F31209">
            <w:pPr>
              <w:keepNext/>
              <w:keepLines/>
              <w:spacing w:after="0"/>
              <w:jc w:val="center"/>
              <w:rPr>
                <w:rFonts w:ascii="Arial" w:hAnsi="Arial"/>
                <w:sz w:val="18"/>
                <w:lang w:eastAsia="x-none"/>
              </w:rPr>
            </w:pPr>
          </w:p>
        </w:tc>
        <w:tc>
          <w:tcPr>
            <w:tcW w:w="2565" w:type="dxa"/>
          </w:tcPr>
          <w:p w14:paraId="23E9F32A" w14:textId="60892369" w:rsidR="00973EB1" w:rsidRDefault="00973EB1" w:rsidP="00F31209">
            <w:pPr>
              <w:keepNext/>
              <w:keepLines/>
              <w:spacing w:after="0"/>
              <w:jc w:val="center"/>
              <w:rPr>
                <w:rFonts w:ascii="Arial" w:hAnsi="Arial"/>
                <w:sz w:val="18"/>
                <w:lang w:eastAsia="x-none"/>
              </w:rPr>
            </w:pPr>
            <w:r>
              <w:rPr>
                <w:rFonts w:ascii="Arial" w:hAnsi="Arial"/>
                <w:sz w:val="18"/>
                <w:lang w:eastAsia="x-none"/>
              </w:rPr>
              <w:t>High</w:t>
            </w:r>
          </w:p>
        </w:tc>
      </w:tr>
      <w:tr w:rsidR="00973EB1" w:rsidRPr="000C0827" w14:paraId="56CE1534" w14:textId="77777777" w:rsidTr="00973EB1">
        <w:trPr>
          <w:jc w:val="center"/>
        </w:trPr>
        <w:tc>
          <w:tcPr>
            <w:tcW w:w="1980" w:type="dxa"/>
          </w:tcPr>
          <w:p w14:paraId="7B0AFB27" w14:textId="77777777" w:rsidR="00973EB1" w:rsidRDefault="00973EB1" w:rsidP="00F31209">
            <w:pPr>
              <w:keepNext/>
              <w:keepLines/>
              <w:spacing w:after="0"/>
              <w:jc w:val="center"/>
              <w:rPr>
                <w:rFonts w:ascii="Arial" w:hAnsi="Arial"/>
                <w:sz w:val="18"/>
                <w:lang w:eastAsia="x-none"/>
              </w:rPr>
            </w:pPr>
            <w:proofErr w:type="spellStart"/>
            <w:r>
              <w:rPr>
                <w:rFonts w:ascii="Arial" w:hAnsi="Arial"/>
                <w:sz w:val="18"/>
                <w:lang w:eastAsia="x-none"/>
              </w:rPr>
              <w:t>Radome</w:t>
            </w:r>
            <w:proofErr w:type="spellEnd"/>
            <w:r>
              <w:rPr>
                <w:rFonts w:ascii="Arial" w:hAnsi="Arial"/>
                <w:sz w:val="18"/>
                <w:lang w:eastAsia="x-none"/>
              </w:rPr>
              <w:t xml:space="preserve"> design</w:t>
            </w:r>
          </w:p>
        </w:tc>
        <w:tc>
          <w:tcPr>
            <w:tcW w:w="2693" w:type="dxa"/>
            <w:shd w:val="clear" w:color="auto" w:fill="auto"/>
          </w:tcPr>
          <w:p w14:paraId="6F5208CB"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Simple</w:t>
            </w:r>
          </w:p>
        </w:tc>
        <w:tc>
          <w:tcPr>
            <w:tcW w:w="2410" w:type="dxa"/>
            <w:vMerge/>
          </w:tcPr>
          <w:p w14:paraId="21325815" w14:textId="77777777" w:rsidR="00973EB1" w:rsidRDefault="00973EB1" w:rsidP="00F31209">
            <w:pPr>
              <w:keepNext/>
              <w:keepLines/>
              <w:spacing w:after="0"/>
              <w:jc w:val="center"/>
              <w:rPr>
                <w:rFonts w:ascii="Arial" w:hAnsi="Arial"/>
                <w:sz w:val="18"/>
                <w:lang w:eastAsia="x-none"/>
              </w:rPr>
            </w:pPr>
          </w:p>
        </w:tc>
        <w:tc>
          <w:tcPr>
            <w:tcW w:w="2565" w:type="dxa"/>
          </w:tcPr>
          <w:p w14:paraId="392836E1" w14:textId="0DB9850F" w:rsidR="00973EB1" w:rsidRDefault="00973EB1" w:rsidP="00F31209">
            <w:pPr>
              <w:keepNext/>
              <w:keepLines/>
              <w:spacing w:after="0"/>
              <w:jc w:val="center"/>
              <w:rPr>
                <w:rFonts w:ascii="Arial" w:hAnsi="Arial"/>
                <w:sz w:val="18"/>
                <w:lang w:eastAsia="x-none"/>
              </w:rPr>
            </w:pPr>
            <w:r>
              <w:rPr>
                <w:rFonts w:ascii="Arial" w:hAnsi="Arial"/>
                <w:sz w:val="18"/>
                <w:lang w:eastAsia="x-none"/>
              </w:rPr>
              <w:t>Complex</w:t>
            </w:r>
          </w:p>
        </w:tc>
      </w:tr>
      <w:tr w:rsidR="00973EB1" w:rsidRPr="000C0827" w14:paraId="732590A3" w14:textId="77777777" w:rsidTr="00973EB1">
        <w:trPr>
          <w:jc w:val="center"/>
        </w:trPr>
        <w:tc>
          <w:tcPr>
            <w:tcW w:w="1980" w:type="dxa"/>
          </w:tcPr>
          <w:p w14:paraId="3B103FF6"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Array directivity</w:t>
            </w:r>
          </w:p>
        </w:tc>
        <w:tc>
          <w:tcPr>
            <w:tcW w:w="2693" w:type="dxa"/>
            <w:shd w:val="clear" w:color="auto" w:fill="auto"/>
          </w:tcPr>
          <w:p w14:paraId="7972928F" w14:textId="3E77DE38" w:rsidR="00973EB1" w:rsidRDefault="00973EB1" w:rsidP="00F31209">
            <w:pPr>
              <w:keepNext/>
              <w:keepLines/>
              <w:spacing w:after="0"/>
              <w:jc w:val="center"/>
              <w:rPr>
                <w:rFonts w:ascii="Arial" w:hAnsi="Arial"/>
                <w:sz w:val="18"/>
                <w:lang w:eastAsia="x-none"/>
              </w:rPr>
            </w:pPr>
            <w:r>
              <w:rPr>
                <w:rFonts w:ascii="Arial" w:hAnsi="Arial"/>
                <w:sz w:val="18"/>
                <w:lang w:eastAsia="x-none"/>
              </w:rPr>
              <w:t>15-</w:t>
            </w:r>
            <w:r w:rsidR="00552AEC">
              <w:rPr>
                <w:rFonts w:ascii="Arial" w:hAnsi="Arial"/>
                <w:sz w:val="18"/>
                <w:lang w:eastAsia="x-none"/>
              </w:rPr>
              <w:t>2</w:t>
            </w:r>
            <w:r w:rsidR="006E6E72">
              <w:rPr>
                <w:rFonts w:ascii="Arial" w:hAnsi="Arial"/>
                <w:sz w:val="18"/>
                <w:lang w:eastAsia="x-none"/>
              </w:rPr>
              <w:t>5</w:t>
            </w:r>
            <w:r w:rsidR="00552AEC">
              <w:rPr>
                <w:rFonts w:ascii="Arial" w:hAnsi="Arial"/>
                <w:sz w:val="18"/>
                <w:lang w:eastAsia="x-none"/>
              </w:rPr>
              <w:t xml:space="preserve"> </w:t>
            </w:r>
            <w:proofErr w:type="spellStart"/>
            <w:r>
              <w:rPr>
                <w:rFonts w:ascii="Arial" w:hAnsi="Arial"/>
                <w:sz w:val="18"/>
                <w:lang w:eastAsia="x-none"/>
              </w:rPr>
              <w:t>dBi</w:t>
            </w:r>
            <w:proofErr w:type="spellEnd"/>
          </w:p>
        </w:tc>
        <w:tc>
          <w:tcPr>
            <w:tcW w:w="2410" w:type="dxa"/>
            <w:vMerge/>
          </w:tcPr>
          <w:p w14:paraId="16D46C73" w14:textId="77777777" w:rsidR="00973EB1" w:rsidRDefault="00973EB1" w:rsidP="00F31209">
            <w:pPr>
              <w:keepNext/>
              <w:keepLines/>
              <w:spacing w:after="0"/>
              <w:jc w:val="center"/>
              <w:rPr>
                <w:rFonts w:ascii="Arial" w:hAnsi="Arial"/>
                <w:sz w:val="18"/>
                <w:lang w:eastAsia="x-none"/>
              </w:rPr>
            </w:pPr>
          </w:p>
        </w:tc>
        <w:tc>
          <w:tcPr>
            <w:tcW w:w="2565" w:type="dxa"/>
          </w:tcPr>
          <w:p w14:paraId="3B6D821E" w14:textId="50C0FDC6" w:rsidR="00973EB1" w:rsidRDefault="00973EB1" w:rsidP="00F31209">
            <w:pPr>
              <w:keepNext/>
              <w:keepLines/>
              <w:spacing w:after="0"/>
              <w:jc w:val="center"/>
              <w:rPr>
                <w:rFonts w:ascii="Arial" w:hAnsi="Arial"/>
                <w:sz w:val="18"/>
                <w:lang w:eastAsia="x-none"/>
              </w:rPr>
            </w:pPr>
            <w:r>
              <w:rPr>
                <w:rFonts w:ascii="Arial" w:hAnsi="Arial"/>
                <w:sz w:val="18"/>
                <w:lang w:eastAsia="x-none"/>
              </w:rPr>
              <w:t xml:space="preserve">20-25 </w:t>
            </w:r>
            <w:proofErr w:type="spellStart"/>
            <w:r>
              <w:rPr>
                <w:rFonts w:ascii="Arial" w:hAnsi="Arial"/>
                <w:sz w:val="18"/>
                <w:lang w:eastAsia="x-none"/>
              </w:rPr>
              <w:t>dBi</w:t>
            </w:r>
            <w:proofErr w:type="spellEnd"/>
          </w:p>
        </w:tc>
      </w:tr>
      <w:tr w:rsidR="00973EB1" w:rsidRPr="000C0827" w14:paraId="51208273" w14:textId="77777777" w:rsidTr="00973EB1">
        <w:trPr>
          <w:jc w:val="center"/>
        </w:trPr>
        <w:tc>
          <w:tcPr>
            <w:tcW w:w="1980" w:type="dxa"/>
          </w:tcPr>
          <w:p w14:paraId="032AB1F5"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RDN complexity</w:t>
            </w:r>
          </w:p>
        </w:tc>
        <w:tc>
          <w:tcPr>
            <w:tcW w:w="2693" w:type="dxa"/>
            <w:shd w:val="clear" w:color="auto" w:fill="auto"/>
          </w:tcPr>
          <w:p w14:paraId="17F9B77B" w14:textId="77777777" w:rsidR="00973EB1" w:rsidRDefault="00973EB1" w:rsidP="00F31209">
            <w:pPr>
              <w:keepNext/>
              <w:keepLines/>
              <w:spacing w:after="0"/>
              <w:jc w:val="center"/>
              <w:rPr>
                <w:rFonts w:ascii="Arial" w:hAnsi="Arial"/>
                <w:sz w:val="18"/>
                <w:lang w:eastAsia="x-none"/>
              </w:rPr>
            </w:pPr>
            <w:r>
              <w:rPr>
                <w:rFonts w:ascii="Arial" w:hAnsi="Arial"/>
                <w:sz w:val="18"/>
                <w:lang w:eastAsia="x-none"/>
              </w:rPr>
              <w:t>High to Low</w:t>
            </w:r>
          </w:p>
        </w:tc>
        <w:tc>
          <w:tcPr>
            <w:tcW w:w="2410" w:type="dxa"/>
            <w:vMerge/>
          </w:tcPr>
          <w:p w14:paraId="21FFABD6" w14:textId="77777777" w:rsidR="00973EB1" w:rsidRDefault="00973EB1" w:rsidP="00F31209">
            <w:pPr>
              <w:keepNext/>
              <w:keepLines/>
              <w:spacing w:after="0"/>
              <w:jc w:val="center"/>
              <w:rPr>
                <w:rFonts w:ascii="Arial" w:hAnsi="Arial"/>
                <w:sz w:val="18"/>
                <w:lang w:eastAsia="x-none"/>
              </w:rPr>
            </w:pPr>
          </w:p>
        </w:tc>
        <w:tc>
          <w:tcPr>
            <w:tcW w:w="2565" w:type="dxa"/>
          </w:tcPr>
          <w:p w14:paraId="6200BB5B" w14:textId="60FE974F" w:rsidR="00973EB1" w:rsidRDefault="00973EB1" w:rsidP="00F31209">
            <w:pPr>
              <w:keepNext/>
              <w:keepLines/>
              <w:spacing w:after="0"/>
              <w:jc w:val="center"/>
              <w:rPr>
                <w:rFonts w:ascii="Arial" w:hAnsi="Arial"/>
                <w:sz w:val="18"/>
                <w:lang w:eastAsia="x-none"/>
              </w:rPr>
            </w:pPr>
            <w:r>
              <w:rPr>
                <w:rFonts w:ascii="Arial" w:hAnsi="Arial"/>
                <w:sz w:val="18"/>
                <w:lang w:eastAsia="x-none"/>
              </w:rPr>
              <w:t>Low</w:t>
            </w:r>
          </w:p>
        </w:tc>
      </w:tr>
    </w:tbl>
    <w:p w14:paraId="627D8343" w14:textId="1E1388E1" w:rsidR="00B201FA" w:rsidRDefault="00B201FA" w:rsidP="00B201FA">
      <w:pPr>
        <w:pStyle w:val="BodyText"/>
      </w:pPr>
    </w:p>
    <w:p w14:paraId="3E5F7C16" w14:textId="0A4ECA6F" w:rsidR="00B201FA" w:rsidRDefault="00B201FA" w:rsidP="00B201FA">
      <w:pPr>
        <w:pStyle w:val="BodyText"/>
        <w:rPr>
          <w:lang w:val="en-US"/>
        </w:rPr>
      </w:pPr>
      <w:r>
        <w:rPr>
          <w:rFonts w:eastAsia="Calibri"/>
          <w:lang w:val="en-US"/>
        </w:rPr>
        <w:t>F</w:t>
      </w:r>
      <w:r w:rsidRPr="007439E6">
        <w:rPr>
          <w:rFonts w:eastAsia="Calibri"/>
          <w:lang w:val="en-US"/>
        </w:rPr>
        <w:t xml:space="preserve">or a single polarized </w:t>
      </w:r>
      <w:r>
        <w:rPr>
          <w:rFonts w:eastAsia="Calibri"/>
          <w:lang w:val="en-US"/>
        </w:rPr>
        <w:t xml:space="preserve">radiating </w:t>
      </w:r>
      <w:r w:rsidRPr="007439E6">
        <w:rPr>
          <w:rFonts w:eastAsia="Calibri"/>
          <w:lang w:val="en-US"/>
        </w:rPr>
        <w:t xml:space="preserve">element, the individual embedded element pattern for an array antenna with </w:t>
      </w:r>
      <w:r w:rsidRPr="002B3047">
        <w:rPr>
          <w:rFonts w:ascii="Calibra Math" w:eastAsia="Calibri" w:hAnsi="Calibra Math"/>
          <w:i/>
          <w:lang w:val="en-US"/>
        </w:rPr>
        <w:t>N</w:t>
      </w:r>
      <w:r w:rsidRPr="007439E6">
        <w:rPr>
          <w:rFonts w:eastAsia="Calibri"/>
          <w:lang w:val="en-US"/>
        </w:rPr>
        <w:t xml:space="preserve"> elements is d</w:t>
      </w:r>
      <w:r>
        <w:rPr>
          <w:rFonts w:eastAsia="Calibri"/>
          <w:lang w:val="en-US"/>
        </w:rPr>
        <w:t>enoted</w:t>
      </w:r>
      <w:r w:rsidR="002B3047">
        <w:rPr>
          <w:rFonts w:eastAsia="Calibri"/>
          <w:lang w:val="en-US"/>
        </w:rPr>
        <w:t xml:space="preserve"> </w:t>
      </w:r>
      <w:r w:rsidR="002B3047" w:rsidRPr="002B3047">
        <w:rPr>
          <w:rFonts w:ascii="Calibra Math" w:eastAsia="Calibri" w:hAnsi="Calibra Math"/>
          <w:i/>
          <w:lang w:val="en-US"/>
        </w:rPr>
        <w:t>R</w:t>
      </w:r>
      <w:r w:rsidR="002B3047" w:rsidRPr="002B3047">
        <w:rPr>
          <w:rFonts w:ascii="Calibra Math" w:eastAsia="Calibri" w:hAnsi="Calibra Math"/>
          <w:i/>
          <w:vertAlign w:val="subscript"/>
          <w:lang w:val="en-US"/>
        </w:rPr>
        <w:t>n</w:t>
      </w:r>
      <w:r w:rsidR="002B3047" w:rsidRPr="002B3047">
        <w:rPr>
          <w:rFonts w:ascii="Calibra Math" w:eastAsia="Calibri" w:hAnsi="Calibra Math"/>
          <w:i/>
          <w:lang w:val="en-US"/>
        </w:rPr>
        <w:t>(</w:t>
      </w:r>
      <w:r w:rsidR="002B3047" w:rsidRPr="002B3047">
        <w:rPr>
          <w:rFonts w:ascii="Symbol" w:eastAsia="Calibri" w:hAnsi="Symbol"/>
          <w:i/>
          <w:lang w:val="en-US"/>
        </w:rPr>
        <w:t></w:t>
      </w:r>
      <w:r w:rsidR="002B3047" w:rsidRPr="002B3047">
        <w:rPr>
          <w:rFonts w:ascii="Calibra Math" w:eastAsia="Calibri" w:hAnsi="Calibra Math"/>
          <w:i/>
          <w:lang w:val="en-US"/>
        </w:rPr>
        <w:t>,</w:t>
      </w:r>
      <w:proofErr w:type="gramStart"/>
      <w:r w:rsidR="002B3047" w:rsidRPr="002B3047">
        <w:rPr>
          <w:rFonts w:ascii="Symbol" w:eastAsia="Calibri" w:hAnsi="Symbol"/>
          <w:i/>
          <w:lang w:val="en-US"/>
        </w:rPr>
        <w:t></w:t>
      </w:r>
      <w:r w:rsidR="002B3047" w:rsidRPr="002B3047">
        <w:rPr>
          <w:rFonts w:ascii="Calibra Math" w:eastAsia="Calibri" w:hAnsi="Calibra Math"/>
          <w:i/>
          <w:lang w:val="en-US"/>
        </w:rPr>
        <w:t>,f</w:t>
      </w:r>
      <w:proofErr w:type="gramEnd"/>
      <w:r w:rsidR="002B3047" w:rsidRPr="002B3047">
        <w:rPr>
          <w:rFonts w:ascii="Calibra Math" w:eastAsia="Calibri" w:hAnsi="Calibra Math"/>
          <w:i/>
          <w:lang w:val="en-US"/>
        </w:rPr>
        <w:t>)</w:t>
      </w:r>
      <w:r w:rsidRPr="007439E6">
        <w:rPr>
          <w:rFonts w:eastAsia="Calibri"/>
          <w:lang w:val="en-US"/>
        </w:rPr>
        <w:t xml:space="preserve">, where </w:t>
      </w:r>
      <w:r w:rsidRPr="002B3047">
        <w:rPr>
          <w:rFonts w:ascii="Calibra Math" w:eastAsia="Calibri" w:hAnsi="Calibra Math"/>
          <w:i/>
          <w:lang w:val="en-US"/>
        </w:rPr>
        <w:t>n=1..N</w:t>
      </w:r>
      <w:r w:rsidRPr="007439E6">
        <w:rPr>
          <w:rFonts w:eastAsia="Calibri"/>
          <w:lang w:val="en-US"/>
        </w:rPr>
        <w:t>.</w:t>
      </w:r>
      <w:r>
        <w:rPr>
          <w:rFonts w:eastAsia="Calibri"/>
          <w:lang w:val="en-US"/>
        </w:rPr>
        <w:t xml:space="preserve"> </w:t>
      </w:r>
      <w:r w:rsidRPr="007439E6">
        <w:rPr>
          <w:rFonts w:eastAsia="Calibri"/>
          <w:lang w:val="en-US"/>
        </w:rPr>
        <w:t xml:space="preserve">Observe that an element can be implemented using several elements and passive combining part of the </w:t>
      </w:r>
      <w:r w:rsidR="00973EB1">
        <w:rPr>
          <w:rFonts w:eastAsia="Calibri"/>
          <w:lang w:val="en-US"/>
        </w:rPr>
        <w:t>RDN</w:t>
      </w:r>
      <w:r w:rsidRPr="007439E6">
        <w:rPr>
          <w:rFonts w:eastAsia="Calibri"/>
          <w:lang w:val="en-US"/>
        </w:rPr>
        <w:t>, constituting a sub-array.</w:t>
      </w:r>
      <w:r>
        <w:rPr>
          <w:lang w:val="en-US"/>
        </w:rPr>
        <w:t xml:space="preserve"> An</w:t>
      </w:r>
      <w:r w:rsidRPr="007439E6">
        <w:rPr>
          <w:lang w:val="en-US"/>
        </w:rPr>
        <w:t xml:space="preserve"> array antenna consists of many radiating elements located close to each other </w:t>
      </w:r>
      <w:r>
        <w:rPr>
          <w:lang w:val="en-US"/>
        </w:rPr>
        <w:t xml:space="preserve">placed </w:t>
      </w:r>
      <w:r w:rsidRPr="007439E6">
        <w:rPr>
          <w:lang w:val="en-US"/>
        </w:rPr>
        <w:t xml:space="preserve">under </w:t>
      </w:r>
      <w:r>
        <w:rPr>
          <w:lang w:val="en-US"/>
        </w:rPr>
        <w:t xml:space="preserve">a </w:t>
      </w:r>
      <w:r w:rsidRPr="007439E6">
        <w:rPr>
          <w:lang w:val="en-US"/>
        </w:rPr>
        <w:t>weather proof encapsulation</w:t>
      </w:r>
      <w:r>
        <w:rPr>
          <w:lang w:val="en-US"/>
        </w:rPr>
        <w:t xml:space="preserve"> also referred to as a </w:t>
      </w:r>
      <w:proofErr w:type="spellStart"/>
      <w:r>
        <w:rPr>
          <w:lang w:val="en-US"/>
        </w:rPr>
        <w:t>radome</w:t>
      </w:r>
      <w:proofErr w:type="spellEnd"/>
      <w:r w:rsidRPr="007439E6">
        <w:rPr>
          <w:lang w:val="en-US"/>
        </w:rPr>
        <w:t>. The locations of the n-</w:t>
      </w:r>
      <w:proofErr w:type="spellStart"/>
      <w:r w:rsidRPr="007439E6">
        <w:rPr>
          <w:lang w:val="en-US"/>
        </w:rPr>
        <w:t>th</w:t>
      </w:r>
      <w:proofErr w:type="spellEnd"/>
      <w:r w:rsidRPr="007439E6">
        <w:rPr>
          <w:lang w:val="en-US"/>
        </w:rPr>
        <w:t xml:space="preserve"> element in an antenna array can be descri</w:t>
      </w:r>
      <w:r>
        <w:rPr>
          <w:lang w:val="en-US"/>
        </w:rPr>
        <w:t>bed as a vector as</w:t>
      </w:r>
      <w:r w:rsidR="002B3047">
        <w:rPr>
          <w:lang w:val="en-US"/>
        </w:rPr>
        <w:t>:</w:t>
      </w:r>
      <w:r w:rsidRPr="007439E6">
        <w:rPr>
          <w:lang w:val="en-US"/>
        </w:rPr>
        <w:t xml:space="preserve"> </w:t>
      </w:r>
    </w:p>
    <w:p w14:paraId="70283833" w14:textId="167F91BB" w:rsidR="00B201FA" w:rsidRPr="007439E6" w:rsidRDefault="00E2301C" w:rsidP="00B201FA">
      <w:pPr>
        <w:pStyle w:val="BodyText"/>
        <w:jc w:val="center"/>
        <w:rPr>
          <w:rFonts w:eastAsia="Calibri"/>
          <w:lang w:val="en-US"/>
        </w:rPr>
      </w:pPr>
      <m:oMath>
        <m:sSub>
          <m:sSubPr>
            <m:ctrlPr>
              <w:rPr>
                <w:rFonts w:ascii="Cambria Math" w:eastAsia="Calibri" w:hAnsi="Cambria Math"/>
                <w:i/>
                <w:lang w:val="en-US"/>
              </w:rPr>
            </m:ctrlPr>
          </m:sSubPr>
          <m:e>
            <m:r>
              <m:rPr>
                <m:sty m:val="b"/>
              </m:rPr>
              <w:rPr>
                <w:rFonts w:ascii="Cambria Math" w:eastAsia="Calibri" w:hAnsi="Cambria Math"/>
                <w:lang w:val="en-US"/>
              </w:rPr>
              <m:t>r</m:t>
            </m:r>
          </m:e>
          <m:sub>
            <m:r>
              <w:rPr>
                <w:rFonts w:ascii="Cambria Math" w:eastAsia="Calibri" w:hAnsi="Cambria Math"/>
                <w:lang w:val="en-US"/>
              </w:rPr>
              <m:t>n</m:t>
            </m:r>
          </m:sub>
        </m:sSub>
        <m:r>
          <w:rPr>
            <w:rFonts w:ascii="Cambria Math" w:eastAsia="Calibri" w:hAnsi="Cambria Math"/>
            <w:lang w:val="en-US"/>
          </w:rPr>
          <m:t>=</m:t>
        </m:r>
        <m:d>
          <m:dPr>
            <m:ctrlPr>
              <w:rPr>
                <w:rFonts w:ascii="Cambria Math" w:eastAsia="Calibri" w:hAnsi="Cambria Math"/>
                <w:i/>
                <w:lang w:val="en-US"/>
              </w:rPr>
            </m:ctrlPr>
          </m:dPr>
          <m:e>
            <m:sSub>
              <m:sSubPr>
                <m:ctrlPr>
                  <w:rPr>
                    <w:rFonts w:ascii="Cambria Math" w:eastAsia="Calibri" w:hAnsi="Cambria Math"/>
                    <w:i/>
                    <w:lang w:val="en-US"/>
                  </w:rPr>
                </m:ctrlPr>
              </m:sSubPr>
              <m:e>
                <m:r>
                  <w:rPr>
                    <w:rFonts w:ascii="Cambria Math" w:eastAsia="Calibri" w:hAnsi="Cambria Math"/>
                    <w:lang w:val="en-US"/>
                  </w:rPr>
                  <m:t>x</m:t>
                </m:r>
              </m:e>
              <m:sub>
                <m:r>
                  <w:rPr>
                    <w:rFonts w:ascii="Cambria Math" w:eastAsia="Calibri" w:hAnsi="Cambria Math"/>
                    <w:lang w:val="en-US"/>
                  </w:rPr>
                  <m:t>n</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y</m:t>
                </m:r>
              </m:e>
              <m:sub>
                <m:r>
                  <w:rPr>
                    <w:rFonts w:ascii="Cambria Math" w:eastAsia="Calibri" w:hAnsi="Cambria Math"/>
                    <w:lang w:val="en-US"/>
                  </w:rPr>
                  <m:t>n</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z</m:t>
                </m:r>
              </m:e>
              <m:sub>
                <m:r>
                  <w:rPr>
                    <w:rFonts w:ascii="Cambria Math" w:eastAsia="Calibri" w:hAnsi="Cambria Math"/>
                    <w:lang w:val="en-US"/>
                  </w:rPr>
                  <m:t>n</m:t>
                </m:r>
              </m:sub>
            </m:sSub>
          </m:e>
        </m:d>
      </m:oMath>
      <w:r w:rsidR="002B3047">
        <w:rPr>
          <w:rFonts w:eastAsia="Calibri"/>
          <w:lang w:val="en-US"/>
        </w:rPr>
        <w:tab/>
      </w:r>
      <w:r w:rsidR="002B3047">
        <w:rPr>
          <w:rFonts w:eastAsia="Calibri"/>
          <w:lang w:val="en-US"/>
        </w:rPr>
        <w:tab/>
      </w:r>
      <w:r w:rsidR="00B201FA">
        <w:rPr>
          <w:rFonts w:eastAsia="Calibri"/>
          <w:lang w:val="en-US"/>
        </w:rPr>
        <w:t>(Eq. 2-1)</w:t>
      </w:r>
    </w:p>
    <w:p w14:paraId="5200DF0F" w14:textId="4C84EBF0" w:rsidR="00B201FA" w:rsidRPr="00310527" w:rsidRDefault="00B201FA" w:rsidP="00B201FA">
      <w:pPr>
        <w:pStyle w:val="BodyText"/>
        <w:rPr>
          <w:rFonts w:eastAsia="Calibri"/>
          <w:lang w:val="en-US"/>
        </w:rPr>
      </w:pPr>
      <w:r w:rsidRPr="007439E6">
        <w:rPr>
          <w:rFonts w:eastAsia="Calibri"/>
          <w:lang w:val="en-US"/>
        </w:rPr>
        <w:t>Each element in the array antenna is feed with a signal described as a complex weight factor as</w:t>
      </w:r>
      <w:r w:rsidR="009312CB">
        <w:rPr>
          <w:rFonts w:eastAsia="Calibri"/>
          <w:lang w:val="en-US"/>
        </w:rPr>
        <w:t xml:space="preserve"> </w:t>
      </w:r>
      <w:proofErr w:type="spellStart"/>
      <w:r w:rsidR="009312CB" w:rsidRPr="009312CB">
        <w:rPr>
          <w:rFonts w:ascii="Calibra Math" w:eastAsia="Calibri" w:hAnsi="Calibra Math"/>
          <w:i/>
          <w:lang w:val="en-US"/>
        </w:rPr>
        <w:t>w</w:t>
      </w:r>
      <w:r w:rsidR="009312CB" w:rsidRPr="009312CB">
        <w:rPr>
          <w:rFonts w:ascii="Calibra Math" w:eastAsia="Calibri" w:hAnsi="Calibra Math"/>
          <w:i/>
          <w:vertAlign w:val="subscript"/>
          <w:lang w:val="en-US"/>
        </w:rPr>
        <w:t>n</w:t>
      </w:r>
      <w:proofErr w:type="spellEnd"/>
      <w:r w:rsidR="009312CB" w:rsidRPr="009312CB">
        <w:rPr>
          <w:rFonts w:ascii="Calibra Math" w:eastAsia="Calibri" w:hAnsi="Calibra Math"/>
          <w:i/>
          <w:lang w:val="en-US"/>
        </w:rPr>
        <w:t>(t)</w:t>
      </w:r>
      <w:r w:rsidRPr="007439E6">
        <w:rPr>
          <w:rFonts w:eastAsia="Calibri"/>
          <w:lang w:val="en-US"/>
        </w:rPr>
        <w:t xml:space="preserve">. For a </w:t>
      </w:r>
      <w:r w:rsidR="002B3047">
        <w:rPr>
          <w:rFonts w:eastAsia="Calibri"/>
          <w:lang w:val="en-US"/>
        </w:rPr>
        <w:t xml:space="preserve">linear </w:t>
      </w:r>
      <w:r w:rsidRPr="007439E6">
        <w:rPr>
          <w:rFonts w:eastAsia="Calibri"/>
          <w:lang w:val="en-US"/>
        </w:rPr>
        <w:t>polarized array antenna, the transmitted signal is created from super-positioning in the far-field region. The composite field strength can be expressed as:</w:t>
      </w:r>
    </w:p>
    <w:p w14:paraId="067A16E6" w14:textId="7E3C25AA" w:rsidR="00B201FA" w:rsidRDefault="002B3047" w:rsidP="00B201FA">
      <w:pPr>
        <w:pStyle w:val="BodyText"/>
        <w:jc w:val="center"/>
        <w:rPr>
          <w:rFonts w:ascii="Arial" w:hAnsi="Arial"/>
          <w:sz w:val="22"/>
          <w:lang w:val="sv-SE"/>
        </w:rPr>
      </w:pPr>
      <m:oMath>
        <m:r>
          <w:rPr>
            <w:rFonts w:ascii="Cambria Math" w:hAnsi="Cambria Math"/>
            <w:sz w:val="22"/>
            <w:lang w:val="sv-SE"/>
          </w:rPr>
          <m:t>E</m:t>
        </m:r>
        <m:d>
          <m:dPr>
            <m:ctrlPr>
              <w:rPr>
                <w:rFonts w:ascii="Cambria Math" w:hAnsi="Cambria Math"/>
                <w:i/>
                <w:sz w:val="22"/>
                <w:lang w:val="sv-SE"/>
              </w:rPr>
            </m:ctrlPr>
          </m:dPr>
          <m:e>
            <m:r>
              <w:rPr>
                <w:rFonts w:ascii="Cambria Math" w:hAnsi="Cambria Math"/>
                <w:sz w:val="22"/>
                <w:lang w:val="sv-SE"/>
              </w:rPr>
              <m:t>θ,φ,f,t</m:t>
            </m:r>
          </m:e>
        </m:d>
        <m:r>
          <w:rPr>
            <w:rFonts w:ascii="Cambria Math" w:hAnsi="Cambria Math"/>
            <w:sz w:val="22"/>
            <w:lang w:val="sv-SE"/>
          </w:rPr>
          <m:t>=</m:t>
        </m:r>
        <m:nary>
          <m:naryPr>
            <m:chr m:val="∑"/>
            <m:limLoc m:val="undOvr"/>
            <m:ctrlPr>
              <w:rPr>
                <w:rFonts w:ascii="Cambria Math" w:hAnsi="Cambria Math"/>
                <w:i/>
                <w:sz w:val="22"/>
                <w:lang w:val="sv-SE"/>
              </w:rPr>
            </m:ctrlPr>
          </m:naryPr>
          <m:sub>
            <m:r>
              <w:rPr>
                <w:rFonts w:ascii="Cambria Math" w:hAnsi="Cambria Math"/>
                <w:sz w:val="22"/>
                <w:lang w:val="sv-SE"/>
              </w:rPr>
              <m:t>n=1</m:t>
            </m:r>
          </m:sub>
          <m:sup>
            <m:r>
              <w:rPr>
                <w:rFonts w:ascii="Cambria Math" w:hAnsi="Cambria Math"/>
                <w:sz w:val="22"/>
                <w:lang w:val="sv-SE"/>
              </w:rPr>
              <m:t>N</m:t>
            </m:r>
          </m:sup>
          <m:e>
            <m:sSub>
              <m:sSubPr>
                <m:ctrlPr>
                  <w:rPr>
                    <w:rFonts w:ascii="Cambria Math" w:hAnsi="Cambria Math"/>
                    <w:i/>
                    <w:sz w:val="22"/>
                    <w:lang w:val="sv-SE"/>
                  </w:rPr>
                </m:ctrlPr>
              </m:sSubPr>
              <m:e>
                <m:r>
                  <w:rPr>
                    <w:rFonts w:ascii="Cambria Math" w:hAnsi="Cambria Math"/>
                    <w:sz w:val="22"/>
                    <w:lang w:val="sv-SE"/>
                  </w:rPr>
                  <m:t>R</m:t>
                </m:r>
              </m:e>
              <m:sub>
                <m:r>
                  <w:rPr>
                    <w:rFonts w:ascii="Cambria Math" w:hAnsi="Cambria Math"/>
                    <w:sz w:val="22"/>
                    <w:lang w:val="sv-SE"/>
                  </w:rPr>
                  <m:t>n</m:t>
                </m:r>
              </m:sub>
            </m:sSub>
            <m:d>
              <m:dPr>
                <m:ctrlPr>
                  <w:rPr>
                    <w:rFonts w:ascii="Cambria Math" w:hAnsi="Cambria Math"/>
                    <w:i/>
                    <w:sz w:val="22"/>
                    <w:lang w:val="sv-SE"/>
                  </w:rPr>
                </m:ctrlPr>
              </m:dPr>
              <m:e>
                <m:r>
                  <w:rPr>
                    <w:rFonts w:ascii="Cambria Math" w:hAnsi="Cambria Math"/>
                    <w:sz w:val="22"/>
                    <w:lang w:val="sv-SE"/>
                  </w:rPr>
                  <m:t>θ,φ,f</m:t>
                </m:r>
              </m:e>
            </m:d>
            <m:sSub>
              <m:sSubPr>
                <m:ctrlPr>
                  <w:rPr>
                    <w:rFonts w:ascii="Cambria Math" w:hAnsi="Cambria Math"/>
                    <w:i/>
                    <w:sz w:val="22"/>
                    <w:lang w:val="sv-SE"/>
                  </w:rPr>
                </m:ctrlPr>
              </m:sSubPr>
              <m:e>
                <m:r>
                  <w:rPr>
                    <w:rFonts w:ascii="Cambria Math" w:hAnsi="Cambria Math"/>
                    <w:sz w:val="22"/>
                    <w:lang w:val="sv-SE"/>
                  </w:rPr>
                  <m:t>w</m:t>
                </m:r>
              </m:e>
              <m:sub>
                <m:r>
                  <w:rPr>
                    <w:rFonts w:ascii="Cambria Math" w:hAnsi="Cambria Math"/>
                    <w:sz w:val="22"/>
                    <w:lang w:val="sv-SE"/>
                  </w:rPr>
                  <m:t>n</m:t>
                </m:r>
              </m:sub>
            </m:sSub>
            <m:d>
              <m:dPr>
                <m:ctrlPr>
                  <w:rPr>
                    <w:rFonts w:ascii="Cambria Math" w:hAnsi="Cambria Math"/>
                    <w:i/>
                    <w:sz w:val="22"/>
                    <w:lang w:val="sv-SE"/>
                  </w:rPr>
                </m:ctrlPr>
              </m:dPr>
              <m:e>
                <m:r>
                  <w:rPr>
                    <w:rFonts w:ascii="Cambria Math" w:hAnsi="Cambria Math"/>
                    <w:sz w:val="22"/>
                    <w:lang w:val="sv-SE"/>
                  </w:rPr>
                  <m:t>t</m:t>
                </m:r>
              </m:e>
            </m:d>
            <m:sSup>
              <m:sSupPr>
                <m:ctrlPr>
                  <w:rPr>
                    <w:rFonts w:ascii="Cambria Math" w:hAnsi="Cambria Math"/>
                    <w:i/>
                    <w:sz w:val="22"/>
                    <w:lang w:val="sv-SE"/>
                  </w:rPr>
                </m:ctrlPr>
              </m:sSupPr>
              <m:e>
                <m:r>
                  <w:rPr>
                    <w:rFonts w:ascii="Cambria Math" w:hAnsi="Cambria Math"/>
                    <w:sz w:val="22"/>
                    <w:lang w:val="sv-SE"/>
                  </w:rPr>
                  <m:t>e</m:t>
                </m:r>
              </m:e>
              <m:sup>
                <m:r>
                  <w:rPr>
                    <w:rFonts w:ascii="Cambria Math" w:hAnsi="Cambria Math"/>
                    <w:sz w:val="22"/>
                    <w:lang w:val="sv-SE"/>
                  </w:rPr>
                  <m:t>j</m:t>
                </m:r>
                <m:r>
                  <m:rPr>
                    <m:sty m:val="b"/>
                  </m:rPr>
                  <w:rPr>
                    <w:rFonts w:ascii="Cambria Math" w:hAnsi="Cambria Math"/>
                    <w:sz w:val="22"/>
                    <w:lang w:val="sv-SE"/>
                  </w:rPr>
                  <m:t>k</m:t>
                </m:r>
                <m:sSub>
                  <m:sSubPr>
                    <m:ctrlPr>
                      <w:rPr>
                        <w:rFonts w:ascii="Cambria Math" w:hAnsi="Cambria Math"/>
                        <w:i/>
                        <w:sz w:val="22"/>
                        <w:lang w:val="sv-SE"/>
                      </w:rPr>
                    </m:ctrlPr>
                  </m:sSubPr>
                  <m:e>
                    <m:r>
                      <m:rPr>
                        <m:sty m:val="b"/>
                      </m:rPr>
                      <w:rPr>
                        <w:rFonts w:ascii="Cambria Math" w:hAnsi="Cambria Math"/>
                        <w:sz w:val="22"/>
                        <w:lang w:val="sv-SE"/>
                      </w:rPr>
                      <m:t>r</m:t>
                    </m:r>
                  </m:e>
                  <m:sub>
                    <m:r>
                      <w:rPr>
                        <w:rFonts w:ascii="Cambria Math" w:hAnsi="Cambria Math"/>
                        <w:sz w:val="22"/>
                        <w:lang w:val="sv-SE"/>
                      </w:rPr>
                      <m:t>n</m:t>
                    </m:r>
                  </m:sub>
                </m:sSub>
              </m:sup>
            </m:sSup>
          </m:e>
        </m:nary>
      </m:oMath>
      <w:r w:rsidR="00425B99">
        <w:rPr>
          <w:rFonts w:ascii="Arial" w:hAnsi="Arial"/>
          <w:sz w:val="22"/>
          <w:lang w:val="sv-SE"/>
        </w:rPr>
        <w:tab/>
      </w:r>
      <w:r w:rsidR="00425B99">
        <w:rPr>
          <w:rFonts w:ascii="Arial" w:hAnsi="Arial"/>
          <w:sz w:val="22"/>
          <w:lang w:val="sv-SE"/>
        </w:rPr>
        <w:tab/>
      </w:r>
      <w:r w:rsidR="00B201FA">
        <w:rPr>
          <w:rFonts w:ascii="Arial" w:hAnsi="Arial"/>
          <w:sz w:val="22"/>
          <w:lang w:val="sv-SE"/>
        </w:rPr>
        <w:t>(</w:t>
      </w:r>
      <w:r w:rsidR="00B201FA" w:rsidRPr="00785EAE">
        <w:rPr>
          <w:lang w:val="sv-SE"/>
        </w:rPr>
        <w:t>Eq</w:t>
      </w:r>
      <w:r w:rsidR="00B201FA">
        <w:rPr>
          <w:lang w:val="sv-SE"/>
        </w:rPr>
        <w:t>. 2.2)</w:t>
      </w:r>
    </w:p>
    <w:p w14:paraId="14CD1DDE" w14:textId="2AB0858E" w:rsidR="00B201FA" w:rsidRPr="007439E6" w:rsidRDefault="00B201FA" w:rsidP="00B201FA">
      <w:pPr>
        <w:pStyle w:val="BodyText"/>
        <w:rPr>
          <w:rFonts w:eastAsia="Calibri"/>
          <w:lang w:val="en-US"/>
        </w:rPr>
      </w:pPr>
      <w:r w:rsidRPr="007439E6">
        <w:rPr>
          <w:rFonts w:eastAsia="Calibri"/>
          <w:lang w:val="en-US"/>
        </w:rPr>
        <w:t>, where</w:t>
      </w:r>
      <w:r w:rsidR="009312CB">
        <w:rPr>
          <w:rFonts w:eastAsia="Calibri"/>
          <w:lang w:val="en-US"/>
        </w:rPr>
        <w:t xml:space="preserve"> </w:t>
      </w:r>
      <w:r w:rsidR="009312CB" w:rsidRPr="009312CB">
        <w:rPr>
          <w:rFonts w:ascii="Calibra Math" w:eastAsia="Calibri" w:hAnsi="Calibra Math"/>
          <w:b/>
          <w:lang w:val="en-US"/>
        </w:rPr>
        <w:t>k</w:t>
      </w:r>
      <w:r w:rsidRPr="007439E6">
        <w:rPr>
          <w:rFonts w:eastAsia="Calibri"/>
          <w:lang w:val="en-US"/>
        </w:rPr>
        <w:t xml:space="preserve"> is the wave vector defined as:</w:t>
      </w:r>
    </w:p>
    <w:p w14:paraId="1BFF9CDA" w14:textId="133AE224" w:rsidR="00B201FA" w:rsidRPr="007439E6" w:rsidRDefault="009312CB" w:rsidP="00B201FA">
      <w:pPr>
        <w:pStyle w:val="BodyText"/>
        <w:jc w:val="center"/>
        <w:rPr>
          <w:rFonts w:eastAsia="Calibri"/>
          <w:lang w:val="en-US"/>
        </w:rPr>
      </w:pPr>
      <m:oMath>
        <m:r>
          <m:rPr>
            <m:sty m:val="b"/>
          </m:rPr>
          <w:rPr>
            <w:rFonts w:ascii="Cambria Math" w:hAnsi="Cambria Math"/>
            <w:lang w:val="sv-SE"/>
          </w:rPr>
          <m:t>k</m:t>
        </m:r>
        <m:r>
          <w:rPr>
            <w:rFonts w:ascii="Cambria Math" w:hAnsi="Cambria Math"/>
            <w:lang w:val="sv-SE"/>
          </w:rPr>
          <m:t>=</m:t>
        </m:r>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x</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y</m:t>
                </m:r>
              </m:sub>
            </m:sSub>
            <m:r>
              <w:rPr>
                <w:rFonts w:ascii="Cambria Math" w:hAnsi="Cambria Math"/>
                <w:lang w:val="sv-SE"/>
              </w:rPr>
              <m:t>,</m:t>
            </m:r>
            <m:sSub>
              <m:sSubPr>
                <m:ctrlPr>
                  <w:rPr>
                    <w:rFonts w:ascii="Cambria Math" w:hAnsi="Cambria Math"/>
                    <w:i/>
                    <w:lang w:val="sv-SE"/>
                  </w:rPr>
                </m:ctrlPr>
              </m:sSubPr>
              <m:e>
                <m:r>
                  <w:rPr>
                    <w:rFonts w:ascii="Cambria Math" w:hAnsi="Cambria Math"/>
                    <w:lang w:val="sv-SE"/>
                  </w:rPr>
                  <m:t>k</m:t>
                </m:r>
              </m:e>
              <m:sub>
                <m:r>
                  <w:rPr>
                    <w:rFonts w:ascii="Cambria Math" w:hAnsi="Cambria Math"/>
                    <w:lang w:val="sv-SE"/>
                  </w:rPr>
                  <m:t>z</m:t>
                </m:r>
              </m:sub>
            </m:sSub>
          </m:e>
        </m:d>
        <m:r>
          <w:rPr>
            <w:rFonts w:ascii="Cambria Math" w:hAnsi="Cambria Math"/>
            <w:lang w:val="sv-SE"/>
          </w:rPr>
          <m:t>=</m:t>
        </m:r>
        <m:f>
          <m:fPr>
            <m:ctrlPr>
              <w:rPr>
                <w:rFonts w:ascii="Cambria Math" w:hAnsi="Cambria Math"/>
                <w:i/>
                <w:lang w:val="sv-SE"/>
              </w:rPr>
            </m:ctrlPr>
          </m:fPr>
          <m:num>
            <m:r>
              <w:rPr>
                <w:rFonts w:ascii="Cambria Math" w:hAnsi="Cambria Math"/>
                <w:lang w:val="sv-SE"/>
              </w:rPr>
              <m:t>2πf</m:t>
            </m:r>
          </m:num>
          <m:den>
            <m:r>
              <w:rPr>
                <w:rFonts w:ascii="Cambria Math" w:hAnsi="Cambria Math"/>
                <w:lang w:val="sv-SE"/>
              </w:rPr>
              <m:t>c</m:t>
            </m:r>
          </m:den>
        </m:f>
        <m:d>
          <m:dPr>
            <m:ctrlPr>
              <w:rPr>
                <w:rFonts w:ascii="Cambria Math" w:hAnsi="Cambria Math"/>
                <w:i/>
                <w:lang w:val="sv-SE"/>
              </w:rPr>
            </m:ctrlPr>
          </m:dPr>
          <m:e>
            <m:r>
              <m:rPr>
                <m:sty m:val="p"/>
              </m:rPr>
              <w:rPr>
                <w:rFonts w:ascii="Cambria Math" w:hAnsi="Cambria Math"/>
                <w:lang w:val="sv-SE"/>
              </w:rPr>
              <m:t>sin</m:t>
            </m:r>
            <m:d>
              <m:dPr>
                <m:ctrlPr>
                  <w:rPr>
                    <w:rFonts w:ascii="Cambria Math" w:hAnsi="Cambria Math"/>
                    <w:i/>
                    <w:lang w:val="sv-SE"/>
                  </w:rPr>
                </m:ctrlPr>
              </m:dPr>
              <m:e>
                <m:r>
                  <w:rPr>
                    <w:rFonts w:ascii="Cambria Math" w:hAnsi="Cambria Math"/>
                    <w:lang w:val="sv-SE"/>
                  </w:rPr>
                  <m:t>θ</m:t>
                </m:r>
              </m:e>
            </m:d>
            <m:r>
              <m:rPr>
                <m:sty m:val="p"/>
              </m:rPr>
              <w:rPr>
                <w:rFonts w:ascii="Cambria Math" w:hAnsi="Cambria Math"/>
                <w:lang w:val="sv-SE"/>
              </w:rPr>
              <m:t>cos</m:t>
            </m:r>
            <m:d>
              <m:dPr>
                <m:ctrlPr>
                  <w:rPr>
                    <w:rFonts w:ascii="Cambria Math" w:hAnsi="Cambria Math"/>
                    <w:i/>
                    <w:lang w:val="sv-SE"/>
                  </w:rPr>
                </m:ctrlPr>
              </m:dPr>
              <m:e>
                <m:r>
                  <w:rPr>
                    <w:rFonts w:ascii="Cambria Math" w:hAnsi="Cambria Math"/>
                    <w:lang w:val="sv-SE"/>
                  </w:rPr>
                  <m:t>φ</m:t>
                </m:r>
              </m:e>
            </m:d>
            <m:r>
              <w:rPr>
                <w:rFonts w:ascii="Cambria Math" w:hAnsi="Cambria Math"/>
                <w:lang w:val="sv-SE"/>
              </w:rPr>
              <m:t>,</m:t>
            </m:r>
            <m:r>
              <m:rPr>
                <m:sty m:val="p"/>
              </m:rPr>
              <w:rPr>
                <w:rFonts w:ascii="Cambria Math" w:hAnsi="Cambria Math"/>
                <w:lang w:val="sv-SE"/>
              </w:rPr>
              <m:t>sin</m:t>
            </m:r>
            <m:d>
              <m:dPr>
                <m:ctrlPr>
                  <w:rPr>
                    <w:rFonts w:ascii="Cambria Math" w:hAnsi="Cambria Math"/>
                    <w:i/>
                    <w:lang w:val="sv-SE"/>
                  </w:rPr>
                </m:ctrlPr>
              </m:dPr>
              <m:e>
                <m:r>
                  <w:rPr>
                    <w:rFonts w:ascii="Cambria Math" w:hAnsi="Cambria Math"/>
                    <w:lang w:val="sv-SE"/>
                  </w:rPr>
                  <m:t>θ</m:t>
                </m:r>
              </m:e>
            </m:d>
            <m:r>
              <m:rPr>
                <m:sty m:val="p"/>
              </m:rPr>
              <w:rPr>
                <w:rFonts w:ascii="Cambria Math" w:hAnsi="Cambria Math"/>
                <w:lang w:val="sv-SE"/>
              </w:rPr>
              <m:t>sin</m:t>
            </m:r>
            <m:d>
              <m:dPr>
                <m:ctrlPr>
                  <w:rPr>
                    <w:rFonts w:ascii="Cambria Math" w:hAnsi="Cambria Math"/>
                    <w:i/>
                    <w:lang w:val="sv-SE"/>
                  </w:rPr>
                </m:ctrlPr>
              </m:dPr>
              <m:e>
                <m:r>
                  <w:rPr>
                    <w:rFonts w:ascii="Cambria Math" w:hAnsi="Cambria Math"/>
                    <w:lang w:val="sv-SE"/>
                  </w:rPr>
                  <m:t>φ</m:t>
                </m:r>
              </m:e>
            </m:d>
            <m:r>
              <w:rPr>
                <w:rFonts w:ascii="Cambria Math" w:hAnsi="Cambria Math"/>
                <w:lang w:val="sv-SE"/>
              </w:rPr>
              <m:t>,</m:t>
            </m:r>
            <m:r>
              <m:rPr>
                <m:sty m:val="p"/>
              </m:rPr>
              <w:rPr>
                <w:rFonts w:ascii="Cambria Math" w:hAnsi="Cambria Math"/>
                <w:lang w:val="sv-SE"/>
              </w:rPr>
              <m:t>cos</m:t>
            </m:r>
            <m:d>
              <m:dPr>
                <m:ctrlPr>
                  <w:rPr>
                    <w:rFonts w:ascii="Cambria Math" w:hAnsi="Cambria Math"/>
                    <w:i/>
                    <w:lang w:val="sv-SE"/>
                  </w:rPr>
                </m:ctrlPr>
              </m:dPr>
              <m:e>
                <m:r>
                  <w:rPr>
                    <w:rFonts w:ascii="Cambria Math" w:hAnsi="Cambria Math"/>
                    <w:lang w:val="sv-SE"/>
                  </w:rPr>
                  <m:t>θ</m:t>
                </m:r>
              </m:e>
            </m:d>
          </m:e>
        </m:d>
      </m:oMath>
      <w:r>
        <w:rPr>
          <w:rFonts w:ascii="Arial" w:hAnsi="Arial"/>
          <w:noProof/>
          <w:lang w:val="sv-SE"/>
        </w:rPr>
        <w:tab/>
      </w:r>
      <w:r>
        <w:rPr>
          <w:rFonts w:ascii="Arial" w:hAnsi="Arial"/>
          <w:noProof/>
          <w:lang w:val="sv-SE"/>
        </w:rPr>
        <w:tab/>
      </w:r>
      <w:r w:rsidR="00B201FA" w:rsidRPr="00785EAE">
        <w:rPr>
          <w:lang w:val="sv-SE"/>
        </w:rPr>
        <w:t>(Eq. 2-3)</w:t>
      </w:r>
    </w:p>
    <w:p w14:paraId="38310A72" w14:textId="1636B9DC" w:rsidR="00B201FA" w:rsidRPr="007439E6" w:rsidRDefault="00B201FA" w:rsidP="00B201FA">
      <w:pPr>
        <w:pStyle w:val="BodyText"/>
        <w:rPr>
          <w:rFonts w:eastAsia="Calibri"/>
          <w:lang w:val="en-US"/>
        </w:rPr>
      </w:pPr>
      <w:r w:rsidRPr="007439E6">
        <w:rPr>
          <w:rFonts w:eastAsia="Calibri"/>
          <w:lang w:val="en-US"/>
        </w:rPr>
        <w:t xml:space="preserve">The wave vector refers to a vector that describes the phase variation of a plane wave, in </w:t>
      </w:r>
      <w:r w:rsidR="009312CB">
        <w:rPr>
          <w:rFonts w:eastAsia="Calibri"/>
          <w:lang w:val="en-US"/>
        </w:rPr>
        <w:t>three</w:t>
      </w:r>
      <w:r w:rsidRPr="007439E6">
        <w:rPr>
          <w:rFonts w:eastAsia="Calibri"/>
          <w:lang w:val="en-US"/>
        </w:rPr>
        <w:t xml:space="preserve"> orthogonal directions.</w:t>
      </w:r>
    </w:p>
    <w:p w14:paraId="4C6A9A8B" w14:textId="7E631BA6" w:rsidR="00B201FA" w:rsidRPr="00310527" w:rsidRDefault="00B201FA" w:rsidP="00B201FA">
      <w:pPr>
        <w:pStyle w:val="BodyText"/>
        <w:rPr>
          <w:rFonts w:eastAsia="Calibri"/>
          <w:lang w:val="en-US"/>
        </w:rPr>
      </w:pPr>
      <w:r w:rsidRPr="00310527">
        <w:rPr>
          <w:lang w:val="en-US"/>
        </w:rPr>
        <w:t xml:space="preserve">The challenge in designing array antennas is that radiation characteristics for individual element will not be the same in the whole array, due to mutual coupling effect. That means that the element factor </w:t>
      </w:r>
      <w:r w:rsidRPr="00153796">
        <w:rPr>
          <w:rFonts w:ascii="Calibra Math" w:hAnsi="Calibra Math"/>
          <w:i/>
          <w:lang w:val="en-US"/>
        </w:rPr>
        <w:t>R</w:t>
      </w:r>
      <w:r w:rsidRPr="00310527">
        <w:rPr>
          <w:lang w:val="en-US"/>
        </w:rPr>
        <w:t xml:space="preserve">, cannot be seen independent of </w:t>
      </w:r>
      <w:r w:rsidR="000E5B99">
        <w:rPr>
          <w:lang w:val="en-US"/>
        </w:rPr>
        <w:t>location and</w:t>
      </w:r>
      <w:r w:rsidRPr="00310527">
        <w:rPr>
          <w:lang w:val="en-US"/>
        </w:rPr>
        <w:t xml:space="preserve"> element separation. The element separation also relates to radiation characteristics by means of spatial sampling resolution</w:t>
      </w:r>
      <w:r w:rsidR="00153796">
        <w:rPr>
          <w:lang w:val="en-US"/>
        </w:rPr>
        <w:t xml:space="preserve"> used for a specific antenna aperture</w:t>
      </w:r>
      <w:r w:rsidRPr="00310527">
        <w:rPr>
          <w:lang w:val="en-US"/>
        </w:rPr>
        <w:t>. Typically, for an array implementation where the element separation is larger than 0.5</w:t>
      </w:r>
      <w:r w:rsidRPr="00310527">
        <w:rPr>
          <w:rFonts w:ascii="Symbol" w:hAnsi="Symbol"/>
          <w:lang w:val="en-US"/>
        </w:rPr>
        <w:t></w:t>
      </w:r>
      <w:r w:rsidRPr="00310527">
        <w:rPr>
          <w:rFonts w:ascii="Symbol" w:hAnsi="Symbol"/>
          <w:lang w:val="en-US"/>
        </w:rPr>
        <w:t></w:t>
      </w:r>
      <w:r w:rsidRPr="00310527">
        <w:rPr>
          <w:lang w:val="en-US"/>
        </w:rPr>
        <w:t xml:space="preserve"> side-lobe performance will be affected. Generally, the maximum steering without grating lobes can be expressed as:</w:t>
      </w:r>
    </w:p>
    <w:p w14:paraId="30B7AC40" w14:textId="680CB180" w:rsidR="00B201FA" w:rsidRDefault="00E2301C" w:rsidP="00B201FA">
      <w:pPr>
        <w:pStyle w:val="BodyText"/>
        <w:jc w:val="center"/>
        <w:rPr>
          <w:lang w:val="sv-SE"/>
        </w:rPr>
      </w:pPr>
      <m:oMath>
        <m:f>
          <m:fPr>
            <m:ctrlPr>
              <w:rPr>
                <w:rFonts w:ascii="Cambria Math" w:hAnsi="Cambria Math"/>
                <w:i/>
                <w:lang w:val="sv-SE"/>
              </w:rPr>
            </m:ctrlPr>
          </m:fPr>
          <m:num>
            <m:r>
              <w:rPr>
                <w:rFonts w:ascii="Cambria Math" w:hAnsi="Cambria Math"/>
                <w:lang w:val="sv-SE"/>
              </w:rPr>
              <m:t>d</m:t>
            </m:r>
          </m:num>
          <m:den>
            <m:r>
              <w:rPr>
                <w:rFonts w:ascii="Cambria Math" w:hAnsi="Cambria Math"/>
                <w:lang w:val="sv-SE"/>
              </w:rPr>
              <m:t>λ</m:t>
            </m:r>
          </m:den>
        </m:f>
        <m:r>
          <w:rPr>
            <w:rFonts w:ascii="Cambria Math" w:hAnsi="Cambria Math"/>
            <w:lang w:val="sv-SE"/>
          </w:rPr>
          <m:t>&lt;</m:t>
        </m:r>
        <m:f>
          <m:fPr>
            <m:ctrlPr>
              <w:rPr>
                <w:rFonts w:ascii="Cambria Math" w:hAnsi="Cambria Math"/>
                <w:i/>
                <w:lang w:val="sv-SE"/>
              </w:rPr>
            </m:ctrlPr>
          </m:fPr>
          <m:num>
            <m:r>
              <w:rPr>
                <w:rFonts w:ascii="Cambria Math" w:hAnsi="Cambria Math"/>
                <w:lang w:val="sv-SE"/>
              </w:rPr>
              <m:t>1</m:t>
            </m:r>
          </m:num>
          <m:den>
            <m:r>
              <w:rPr>
                <w:rFonts w:ascii="Cambria Math" w:hAnsi="Cambria Math"/>
                <w:lang w:val="sv-SE"/>
              </w:rPr>
              <m:t>1+sin</m:t>
            </m:r>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φ</m:t>
                    </m:r>
                  </m:e>
                  <m:sub>
                    <m:r>
                      <w:rPr>
                        <w:rFonts w:ascii="Cambria Math" w:hAnsi="Cambria Math"/>
                        <w:lang w:val="sv-SE"/>
                      </w:rPr>
                      <m:t>max</m:t>
                    </m:r>
                  </m:sub>
                </m:sSub>
              </m:e>
            </m:d>
          </m:den>
        </m:f>
      </m:oMath>
      <w:r w:rsidR="00153796">
        <w:rPr>
          <w:lang w:val="sv-SE"/>
        </w:rPr>
        <w:tab/>
      </w:r>
      <w:r w:rsidR="00153796">
        <w:rPr>
          <w:lang w:val="sv-SE"/>
        </w:rPr>
        <w:tab/>
      </w:r>
      <w:r w:rsidR="00B201FA">
        <w:rPr>
          <w:lang w:val="sv-SE"/>
        </w:rPr>
        <w:t>(Eq. 2-4)</w:t>
      </w:r>
    </w:p>
    <w:p w14:paraId="7346B303" w14:textId="6FCC3889" w:rsidR="00B201FA" w:rsidRDefault="00B201FA" w:rsidP="00B201FA">
      <w:pPr>
        <w:pStyle w:val="BodyText"/>
        <w:rPr>
          <w:lang w:val="en-US"/>
        </w:rPr>
      </w:pPr>
      <w:r w:rsidRPr="00310527">
        <w:rPr>
          <w:lang w:val="en-US"/>
        </w:rPr>
        <w:t xml:space="preserve">, where </w:t>
      </w:r>
      <w:r w:rsidRPr="00153796">
        <w:rPr>
          <w:rFonts w:ascii="Calibra Math" w:hAnsi="Calibra Math"/>
          <w:i/>
          <w:lang w:val="en-US"/>
        </w:rPr>
        <w:t>d</w:t>
      </w:r>
      <w:r w:rsidRPr="00310527">
        <w:rPr>
          <w:lang w:val="en-US"/>
        </w:rPr>
        <w:t xml:space="preserve"> is the element separation and </w:t>
      </w:r>
      <w:r w:rsidRPr="00153796">
        <w:rPr>
          <w:rFonts w:ascii="Symbol" w:hAnsi="Symbol"/>
          <w:i/>
          <w:lang w:val="en-US"/>
        </w:rPr>
        <w:t></w:t>
      </w:r>
      <w:r w:rsidRPr="00153796">
        <w:rPr>
          <w:i/>
          <w:vertAlign w:val="subscript"/>
          <w:lang w:val="en-US"/>
        </w:rPr>
        <w:t>max</w:t>
      </w:r>
      <w:r w:rsidRPr="00310527">
        <w:rPr>
          <w:lang w:val="en-US"/>
        </w:rPr>
        <w:t xml:space="preserve"> is the maximal steering angle (along one dimension).</w:t>
      </w:r>
      <w:r w:rsidR="00153796">
        <w:rPr>
          <w:lang w:val="en-US"/>
        </w:rPr>
        <w:t xml:space="preserve"> </w:t>
      </w:r>
      <w:r w:rsidRPr="00310527">
        <w:rPr>
          <w:lang w:val="en-US"/>
        </w:rPr>
        <w:t>If the spatial sampling criterion is not fulfilled folding effect</w:t>
      </w:r>
      <w:r w:rsidR="00153796">
        <w:rPr>
          <w:lang w:val="en-US"/>
        </w:rPr>
        <w:t>s</w:t>
      </w:r>
      <w:r w:rsidRPr="00310527">
        <w:rPr>
          <w:lang w:val="en-US"/>
        </w:rPr>
        <w:t xml:space="preserve"> will occur creating a </w:t>
      </w:r>
      <w:r w:rsidRPr="00153796">
        <w:rPr>
          <w:i/>
          <w:lang w:val="en-US"/>
        </w:rPr>
        <w:t>grating lobe</w:t>
      </w:r>
      <w:r w:rsidRPr="00310527">
        <w:rPr>
          <w:lang w:val="en-US"/>
        </w:rPr>
        <w:t xml:space="preserve"> response. Therefore, antenna designers strive to set the element separation close to 0.5</w:t>
      </w:r>
      <w:r w:rsidRPr="00310527">
        <w:rPr>
          <w:rFonts w:ascii="Symbol" w:hAnsi="Symbol"/>
          <w:lang w:val="en-US"/>
        </w:rPr>
        <w:t></w:t>
      </w:r>
      <w:r w:rsidRPr="00310527">
        <w:rPr>
          <w:rFonts w:ascii="Symbol" w:hAnsi="Symbol"/>
          <w:lang w:val="en-US"/>
        </w:rPr>
        <w:t></w:t>
      </w:r>
      <w:r w:rsidRPr="00310527">
        <w:rPr>
          <w:lang w:val="en-US"/>
        </w:rPr>
        <w:t xml:space="preserve">for system using large steering angles. However, when the elements are close the interaction between them is more severe, which results in ripple in </w:t>
      </w:r>
      <w:r w:rsidR="00153796">
        <w:rPr>
          <w:lang w:val="en-US"/>
        </w:rPr>
        <w:t xml:space="preserve">induvial element </w:t>
      </w:r>
      <w:r w:rsidRPr="00310527">
        <w:rPr>
          <w:lang w:val="en-US"/>
        </w:rPr>
        <w:t>radiation pattern</w:t>
      </w:r>
      <w:r w:rsidR="00153796">
        <w:rPr>
          <w:lang w:val="en-US"/>
        </w:rPr>
        <w:t>s.</w:t>
      </w:r>
      <w:r w:rsidRPr="00310527">
        <w:rPr>
          <w:lang w:val="en-US"/>
        </w:rPr>
        <w:t xml:space="preserve"> Hence the interaction between element separation and element radiation characteristics is a delicate challenge for antenna engineer</w:t>
      </w:r>
      <w:r w:rsidR="00153796">
        <w:rPr>
          <w:lang w:val="en-US"/>
        </w:rPr>
        <w:t>s</w:t>
      </w:r>
      <w:r w:rsidRPr="00310527">
        <w:rPr>
          <w:lang w:val="en-US"/>
        </w:rPr>
        <w:t>. Typical element separation is in the range of 0.5</w:t>
      </w:r>
      <w:r w:rsidRPr="00310527">
        <w:rPr>
          <w:rFonts w:ascii="Symbol" w:hAnsi="Symbol"/>
          <w:lang w:val="en-US"/>
        </w:rPr>
        <w:t></w:t>
      </w:r>
      <w:r w:rsidRPr="00310527">
        <w:rPr>
          <w:lang w:val="en-US"/>
        </w:rPr>
        <w:t xml:space="preserve"> to 0.7</w:t>
      </w:r>
      <w:r w:rsidRPr="00310527">
        <w:rPr>
          <w:rFonts w:ascii="Symbol" w:hAnsi="Symbol"/>
          <w:lang w:val="en-US"/>
        </w:rPr>
        <w:t></w:t>
      </w:r>
      <w:r w:rsidRPr="00310527">
        <w:rPr>
          <w:lang w:val="en-US"/>
        </w:rPr>
        <w:t xml:space="preserve">. The consequence of grating lobes is that energy will be spread in unintended direction, this may or may not be harmful for the system from an interference perspective. Nevertheless, the power in the intended direction drops because of large grating lobes. From a system design perspective, grating lobes, and the fact that the effective antenna area is reduced due to projection will reduce the directivity. This phenomenon is referred to as </w:t>
      </w:r>
      <w:r w:rsidRPr="00153796">
        <w:rPr>
          <w:i/>
          <w:lang w:val="en-US"/>
        </w:rPr>
        <w:t>scan-loss</w:t>
      </w:r>
      <w:r w:rsidRPr="00310527">
        <w:rPr>
          <w:lang w:val="en-US"/>
        </w:rPr>
        <w:t>.</w:t>
      </w:r>
      <w:r>
        <w:rPr>
          <w:lang w:val="en-US"/>
        </w:rPr>
        <w:t xml:space="preserve"> </w:t>
      </w:r>
      <w:r w:rsidRPr="00310527">
        <w:rPr>
          <w:lang w:val="en-US"/>
        </w:rPr>
        <w:t xml:space="preserve">This effect needs considerations from a system perspective. </w:t>
      </w:r>
    </w:p>
    <w:p w14:paraId="08A1C1DB" w14:textId="40969931" w:rsidR="006D3E8B" w:rsidRDefault="006D3E8B" w:rsidP="00B201FA">
      <w:pPr>
        <w:pStyle w:val="BodyText"/>
        <w:rPr>
          <w:lang w:val="en-US"/>
        </w:rPr>
      </w:pPr>
    </w:p>
    <w:p w14:paraId="6C7FD433" w14:textId="77777777" w:rsidR="006D3E8B" w:rsidRDefault="006D3E8B" w:rsidP="00B201FA">
      <w:pPr>
        <w:pStyle w:val="BodyText"/>
        <w:rPr>
          <w:lang w:val="en-US"/>
        </w:rPr>
      </w:pPr>
    </w:p>
    <w:p w14:paraId="6501A5D4" w14:textId="77777777" w:rsidR="00B201FA" w:rsidRDefault="00B201FA" w:rsidP="00B201FA">
      <w:pPr>
        <w:pStyle w:val="BodyText"/>
      </w:pPr>
    </w:p>
    <w:p w14:paraId="0B439D1F" w14:textId="77777777" w:rsidR="00B201FA" w:rsidRPr="00785EAE" w:rsidRDefault="00B201FA" w:rsidP="00B201FA">
      <w:pPr>
        <w:pStyle w:val="BodyText"/>
        <w:rPr>
          <w:rFonts w:ascii="Arial" w:hAnsi="Arial" w:cs="Arial"/>
        </w:rPr>
      </w:pPr>
      <w:r w:rsidRPr="00785EAE">
        <w:rPr>
          <w:rFonts w:ascii="Arial" w:hAnsi="Arial" w:cs="Arial"/>
        </w:rPr>
        <w:lastRenderedPageBreak/>
        <w:t>2.1</w:t>
      </w:r>
      <w:r w:rsidRPr="00785EAE">
        <w:rPr>
          <w:rFonts w:ascii="Arial" w:hAnsi="Arial" w:cs="Arial"/>
        </w:rPr>
        <w:tab/>
      </w:r>
      <w:r>
        <w:rPr>
          <w:rFonts w:ascii="Arial" w:hAnsi="Arial" w:cs="Arial"/>
        </w:rPr>
        <w:tab/>
      </w:r>
      <w:r w:rsidRPr="00785EAE">
        <w:rPr>
          <w:rFonts w:ascii="Arial" w:hAnsi="Arial" w:cs="Arial"/>
        </w:rPr>
        <w:t>Transmitter</w:t>
      </w:r>
    </w:p>
    <w:p w14:paraId="3BEF5F57" w14:textId="15642CE0" w:rsidR="00B201FA" w:rsidRDefault="00B201FA" w:rsidP="00B201FA">
      <w:pPr>
        <w:pStyle w:val="BodyText"/>
        <w:rPr>
          <w:lang w:val="en-US"/>
        </w:rPr>
      </w:pPr>
      <w:r w:rsidRPr="00602572">
        <w:rPr>
          <w:lang w:val="en-US"/>
        </w:rPr>
        <w:t xml:space="preserve">The radiated transmit power delivered by an active array antenna is determined by the capability to generate and direct power as Equivalent Isotropic Radiated Power (EIRP). In general, </w:t>
      </w:r>
      <w:r w:rsidR="00F31209">
        <w:rPr>
          <w:lang w:val="en-US"/>
        </w:rPr>
        <w:t xml:space="preserve">peak </w:t>
      </w:r>
      <w:r w:rsidRPr="00602572">
        <w:rPr>
          <w:lang w:val="en-US"/>
        </w:rPr>
        <w:t>EIRP can be expressed in logarithmical scale as:</w:t>
      </w:r>
    </w:p>
    <w:p w14:paraId="69296578" w14:textId="2814B875" w:rsidR="00B201FA" w:rsidRPr="00602572" w:rsidRDefault="00E2301C" w:rsidP="00F31209">
      <w:pPr>
        <w:pStyle w:val="BodyText"/>
        <w:jc w:val="center"/>
        <w:rPr>
          <w:lang w:val="en-US"/>
        </w:rPr>
      </w:pP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0</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acc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0</m:t>
            </m:r>
          </m:sub>
        </m:sSub>
      </m:oMath>
      <w:r w:rsidR="00F31209">
        <w:rPr>
          <w:lang w:val="sv-SE"/>
        </w:rPr>
        <w:tab/>
      </w:r>
      <w:r w:rsidR="00F31209">
        <w:rPr>
          <w:lang w:val="sv-SE"/>
        </w:rPr>
        <w:tab/>
      </w:r>
      <w:r w:rsidR="00B201FA">
        <w:rPr>
          <w:lang w:val="sv-SE"/>
        </w:rPr>
        <w:t>(Eq. 2.1-1)</w:t>
      </w:r>
    </w:p>
    <w:p w14:paraId="742696C4" w14:textId="5048F669" w:rsidR="00B201FA" w:rsidRPr="00602572" w:rsidRDefault="00B201FA" w:rsidP="00B201FA">
      <w:pPr>
        <w:pStyle w:val="BodyText"/>
        <w:rPr>
          <w:lang w:val="en-US"/>
        </w:rPr>
      </w:pPr>
      <w:r w:rsidRPr="00602572">
        <w:rPr>
          <w:lang w:val="en-US"/>
        </w:rPr>
        <w:t xml:space="preserve">, where </w:t>
      </w:r>
      <w:proofErr w:type="spellStart"/>
      <w:r w:rsidRPr="00F31209">
        <w:rPr>
          <w:rFonts w:ascii="Calibra Math" w:hAnsi="Calibra Math"/>
          <w:i/>
          <w:lang w:val="en-US"/>
        </w:rPr>
        <w:t>P</w:t>
      </w:r>
      <w:r w:rsidR="00F31209" w:rsidRPr="00F31209">
        <w:rPr>
          <w:rFonts w:ascii="Calibra Math" w:hAnsi="Calibra Math"/>
          <w:i/>
          <w:vertAlign w:val="subscript"/>
          <w:lang w:val="en-US"/>
        </w:rPr>
        <w:t>acc</w:t>
      </w:r>
      <w:proofErr w:type="spellEnd"/>
      <w:r w:rsidRPr="00602572">
        <w:rPr>
          <w:lang w:val="en-US"/>
        </w:rPr>
        <w:t xml:space="preserve"> is the total power accepted by the array antenna and </w:t>
      </w:r>
      <w:r w:rsidRPr="00F31209">
        <w:rPr>
          <w:rFonts w:ascii="Calibra Math" w:hAnsi="Calibra Math"/>
          <w:i/>
          <w:lang w:val="en-US"/>
        </w:rPr>
        <w:t>G</w:t>
      </w:r>
      <w:r w:rsidRPr="00F31209">
        <w:rPr>
          <w:rFonts w:ascii="Calibra Math" w:hAnsi="Calibra Math"/>
          <w:i/>
          <w:vertAlign w:val="subscript"/>
          <w:lang w:val="en-US"/>
        </w:rPr>
        <w:t>0</w:t>
      </w:r>
      <w:r w:rsidRPr="00602572">
        <w:rPr>
          <w:lang w:val="en-US"/>
        </w:rPr>
        <w:t xml:space="preserve"> is the peak gain created by the array antenna. However, the exact calculation of EIRP for an array antenna required careful handling, since both </w:t>
      </w:r>
      <w:proofErr w:type="spellStart"/>
      <w:r w:rsidR="00F31209" w:rsidRPr="00F31209">
        <w:rPr>
          <w:rFonts w:ascii="Calibra Math" w:hAnsi="Calibra Math"/>
          <w:i/>
          <w:lang w:val="en-US"/>
        </w:rPr>
        <w:t>P</w:t>
      </w:r>
      <w:r w:rsidR="00F31209" w:rsidRPr="00F31209">
        <w:rPr>
          <w:rFonts w:ascii="Calibra Math" w:hAnsi="Calibra Math"/>
          <w:i/>
          <w:vertAlign w:val="subscript"/>
          <w:lang w:val="en-US"/>
        </w:rPr>
        <w:t>acc</w:t>
      </w:r>
      <w:proofErr w:type="spellEnd"/>
      <w:r w:rsidR="00F31209" w:rsidRPr="00602572">
        <w:rPr>
          <w:lang w:val="en-US"/>
        </w:rPr>
        <w:t xml:space="preserve"> </w:t>
      </w:r>
      <w:r w:rsidRPr="00602572">
        <w:rPr>
          <w:lang w:val="en-US"/>
        </w:rPr>
        <w:t xml:space="preserve">and </w:t>
      </w:r>
      <w:r w:rsidRPr="00F31209">
        <w:rPr>
          <w:rFonts w:ascii="Calibra Math" w:hAnsi="Calibra Math"/>
          <w:i/>
          <w:lang w:val="en-US"/>
        </w:rPr>
        <w:t>G</w:t>
      </w:r>
      <w:r w:rsidRPr="00F31209">
        <w:rPr>
          <w:rFonts w:ascii="Calibra Math" w:hAnsi="Calibra Math"/>
          <w:i/>
          <w:vertAlign w:val="subscript"/>
          <w:lang w:val="en-US"/>
        </w:rPr>
        <w:t>0</w:t>
      </w:r>
      <w:r w:rsidRPr="00602572">
        <w:rPr>
          <w:lang w:val="en-US"/>
        </w:rPr>
        <w:t xml:space="preserve"> will depend on array excitation array geometry and mutual coupling.  </w:t>
      </w:r>
    </w:p>
    <w:p w14:paraId="1916BB26" w14:textId="2B19459B" w:rsidR="003B2125" w:rsidRDefault="00B201FA" w:rsidP="00F210FB">
      <w:pPr>
        <w:pStyle w:val="BodyText"/>
      </w:pPr>
      <w:r w:rsidRPr="00602572">
        <w:rPr>
          <w:lang w:val="en-US"/>
        </w:rPr>
        <w:t>Antenna element coupling is caused by the fact that antenna elements are located close to each other and thus there is electromagnetic interaction between them. It is reasonable to believe that mutual coupling between elements is stronger in an active array antenna compared to a traditional passive array antenna, since beam-forming performance requires element separations to be in the region of 0.5</w:t>
      </w:r>
      <w:r w:rsidRPr="00602572">
        <w:rPr>
          <w:rFonts w:ascii="Symbol" w:hAnsi="Symbol"/>
          <w:lang w:val="en-US"/>
        </w:rPr>
        <w:t></w:t>
      </w:r>
      <w:r w:rsidRPr="00602572">
        <w:rPr>
          <w:lang w:val="en-US"/>
        </w:rPr>
        <w:t xml:space="preserve">, and it may not be possible to build high isolation circuits, such as traditional isolators in the limited space as is common for traditional passive array antennas. To a specific array antenna, the matching and mutual coupling can be evaluated by introducing a scattering matrix, </w:t>
      </w:r>
      <w:r w:rsidRPr="00F31209">
        <w:rPr>
          <w:rFonts w:ascii="Calibra Math" w:hAnsi="Calibra Math"/>
          <w:b/>
          <w:lang w:val="en-US"/>
        </w:rPr>
        <w:t>S</w:t>
      </w:r>
      <w:r w:rsidRPr="00602572">
        <w:rPr>
          <w:lang w:val="en-US"/>
        </w:rPr>
        <w:t>.</w:t>
      </w:r>
      <w:r w:rsidR="003851EA">
        <w:rPr>
          <w:lang w:val="en-US"/>
        </w:rPr>
        <w:t xml:space="preserve"> </w:t>
      </w:r>
      <w:r w:rsidRPr="00602572">
        <w:rPr>
          <w:lang w:val="en-US"/>
        </w:rPr>
        <w:t xml:space="preserve">The scattering matrix will capture the </w:t>
      </w:r>
      <w:r w:rsidRPr="00602572">
        <w:rPr>
          <w:i/>
          <w:lang w:val="en-US"/>
        </w:rPr>
        <w:t>S-parameters</w:t>
      </w:r>
      <w:r w:rsidRPr="00602572">
        <w:rPr>
          <w:lang w:val="en-US"/>
        </w:rPr>
        <w:t xml:space="preserve"> seeing the array antenna as an N</w:t>
      </w:r>
      <w:r w:rsidR="00F31209">
        <w:rPr>
          <w:lang w:val="en-US"/>
        </w:rPr>
        <w:t>-</w:t>
      </w:r>
      <w:r w:rsidRPr="00602572">
        <w:rPr>
          <w:lang w:val="en-US"/>
        </w:rPr>
        <w:t>port circuit. The S-parameters hold information about the relationship between reflected and incident waves. For an N</w:t>
      </w:r>
      <w:r w:rsidR="00F31209">
        <w:rPr>
          <w:lang w:val="en-US"/>
        </w:rPr>
        <w:t>-</w:t>
      </w:r>
      <w:r w:rsidRPr="00602572">
        <w:rPr>
          <w:lang w:val="en-US"/>
        </w:rPr>
        <w:t>port array antenna, the S-parameter matrix is given by:</w:t>
      </w:r>
    </w:p>
    <w:p w14:paraId="046DDFFA" w14:textId="254F560A" w:rsidR="00B201FA" w:rsidRPr="00602572" w:rsidRDefault="003B2125" w:rsidP="00B201FA">
      <w:pPr>
        <w:pStyle w:val="BodyText"/>
        <w:jc w:val="center"/>
        <w:rPr>
          <w:lang w:val="en-US"/>
        </w:rPr>
      </w:pPr>
      <m:oMath>
        <m:r>
          <m:rPr>
            <m:sty m:val="b"/>
          </m:rPr>
          <w:rPr>
            <w:rFonts w:ascii="Cambria Math" w:hAnsi="Cambria Math"/>
            <w:lang w:val="en-US"/>
          </w:rPr>
          <m:t>S</m:t>
        </m:r>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11</m:t>
                            </m:r>
                          </m:sub>
                        </m:sSub>
                      </m:e>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12</m:t>
                            </m:r>
                          </m:sub>
                        </m:sSub>
                      </m:e>
                    </m:mr>
                    <m:m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21</m:t>
                            </m:r>
                          </m:sub>
                        </m:sSub>
                      </m:e>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22</m:t>
                            </m:r>
                          </m:sub>
                        </m:sSub>
                      </m:e>
                    </m:mr>
                  </m:m>
                </m:e>
                <m:e>
                  <m:m>
                    <m:mPr>
                      <m:mcs>
                        <m:mc>
                          <m:mcPr>
                            <m:count m:val="2"/>
                            <m:mcJc m:val="center"/>
                          </m:mcPr>
                        </m:mc>
                      </m:mcs>
                      <m:ctrlPr>
                        <w:rPr>
                          <w:rFonts w:ascii="Cambria Math" w:hAnsi="Cambria Math"/>
                          <w:i/>
                          <w:lang w:val="en-US"/>
                        </w:rPr>
                      </m:ctrlPr>
                    </m:mPr>
                    <m:mr>
                      <m:e>
                        <m:r>
                          <w:rPr>
                            <w:rFonts w:ascii="Cambria Math" w:hAnsi="Cambria Math"/>
                            <w:lang w:val="en-US"/>
                          </w:rPr>
                          <m:t>⋯</m:t>
                        </m:r>
                      </m:e>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1N</m:t>
                            </m:r>
                          </m:sub>
                        </m:sSub>
                      </m:e>
                    </m:mr>
                    <m:mr>
                      <m:e>
                        <m:r>
                          <w:rPr>
                            <w:rFonts w:ascii="Cambria Math" w:hAnsi="Cambria Math"/>
                            <w:lang w:val="en-US"/>
                          </w:rPr>
                          <m:t>⋯</m:t>
                        </m:r>
                      </m:e>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2N</m:t>
                            </m:r>
                          </m:sub>
                        </m:sSub>
                      </m:e>
                    </m:mr>
                  </m:m>
                </m:e>
              </m:mr>
              <m:mr>
                <m:e>
                  <m:m>
                    <m:mPr>
                      <m:mcs>
                        <m:mc>
                          <m:mcPr>
                            <m:count m:val="2"/>
                            <m:mcJc m:val="center"/>
                          </m:mcPr>
                        </m:mc>
                      </m:mcs>
                      <m:ctrlPr>
                        <w:rPr>
                          <w:rFonts w:ascii="Cambria Math" w:hAnsi="Cambria Math"/>
                          <w:i/>
                          <w:lang w:val="en-US"/>
                        </w:rPr>
                      </m:ctrlPr>
                    </m:mPr>
                    <m:mr>
                      <m:e>
                        <m:r>
                          <w:rPr>
                            <w:rFonts w:ascii="Cambria Math" w:hAnsi="Cambria Math"/>
                            <w:lang w:val="en-US"/>
                          </w:rPr>
                          <m:t>⋮</m:t>
                        </m:r>
                      </m:e>
                      <m:e>
                        <m:r>
                          <w:rPr>
                            <w:rFonts w:ascii="Cambria Math" w:hAnsi="Cambria Math"/>
                            <w:lang w:val="en-US"/>
                          </w:rPr>
                          <m:t>⋮</m:t>
                        </m:r>
                      </m:e>
                    </m:mr>
                    <m:m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N1</m:t>
                            </m:r>
                          </m:sub>
                        </m:sSub>
                      </m:e>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N2</m:t>
                            </m:r>
                          </m:sub>
                        </m:sSub>
                      </m:e>
                    </m:mr>
                  </m:m>
                </m:e>
                <m:e>
                  <m:m>
                    <m:mPr>
                      <m:mcs>
                        <m:mc>
                          <m:mcPr>
                            <m:count m:val="2"/>
                            <m:mcJc m:val="center"/>
                          </m:mcPr>
                        </m:mc>
                      </m:mcs>
                      <m:ctrlPr>
                        <w:rPr>
                          <w:rFonts w:ascii="Cambria Math" w:hAnsi="Cambria Math"/>
                          <w:i/>
                          <w:lang w:val="en-US"/>
                        </w:rPr>
                      </m:ctrlPr>
                    </m:mPr>
                    <m:mr>
                      <m:e>
                        <m:r>
                          <w:rPr>
                            <w:rFonts w:ascii="Cambria Math" w:hAnsi="Cambria Math"/>
                            <w:lang w:val="en-US"/>
                          </w:rPr>
                          <m:t>⋱</m:t>
                        </m:r>
                      </m:e>
                      <m:e>
                        <m:r>
                          <w:rPr>
                            <w:rFonts w:ascii="Cambria Math" w:hAnsi="Cambria Math"/>
                            <w:lang w:val="en-US"/>
                          </w:rPr>
                          <m:t>⋮</m:t>
                        </m:r>
                      </m:e>
                    </m:mr>
                    <m:mr>
                      <m:e>
                        <m:r>
                          <w:rPr>
                            <w:rFonts w:ascii="Cambria Math" w:hAnsi="Cambria Math"/>
                            <w:lang w:val="en-US"/>
                          </w:rPr>
                          <m:t>⋯</m:t>
                        </m:r>
                      </m:e>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NN</m:t>
                            </m:r>
                          </m:sub>
                        </m:sSub>
                      </m:e>
                    </m:mr>
                  </m:m>
                </m:e>
              </m:mr>
            </m:m>
          </m:e>
        </m:d>
      </m:oMath>
      <w:r>
        <w:rPr>
          <w:lang w:val="en-US"/>
        </w:rPr>
        <w:tab/>
      </w:r>
      <w:r>
        <w:t xml:space="preserve"> </w:t>
      </w:r>
      <w:r w:rsidR="00F210FB">
        <w:tab/>
      </w:r>
      <w:r w:rsidR="00B201FA">
        <w:t>(Eq. 2.1-2)</w:t>
      </w:r>
    </w:p>
    <w:p w14:paraId="5CC77F97" w14:textId="0F1768A6" w:rsidR="00E91DAD" w:rsidRDefault="00B201FA" w:rsidP="00B201FA">
      <w:pPr>
        <w:pStyle w:val="BodyText"/>
        <w:rPr>
          <w:lang w:val="en-US"/>
        </w:rPr>
      </w:pPr>
      <w:r w:rsidRPr="00602572">
        <w:rPr>
          <w:lang w:val="en-US"/>
        </w:rPr>
        <w:t xml:space="preserve">The diagonal holds the voltage reflection coefficient for each radiating element, other indices holds coupling coefficients between all radiating elements. The reflection coefficients determine the impedance matching between the transceiver array and individual elements in the array at the Antenna Reference Point (ARP). For </w:t>
      </w:r>
      <w:r w:rsidR="00F31209">
        <w:rPr>
          <w:lang w:val="en-US"/>
        </w:rPr>
        <w:t>micro</w:t>
      </w:r>
      <w:r w:rsidRPr="00602572">
        <w:rPr>
          <w:lang w:val="en-US"/>
        </w:rPr>
        <w:t xml:space="preserve">wave systems </w:t>
      </w:r>
      <w:r w:rsidR="00F31209">
        <w:rPr>
          <w:lang w:val="en-US"/>
        </w:rPr>
        <w:t xml:space="preserve">operating within the frequency range 7000 to 24000 MHz </w:t>
      </w:r>
      <w:r w:rsidRPr="00602572">
        <w:rPr>
          <w:lang w:val="en-US"/>
        </w:rPr>
        <w:t xml:space="preserve">there </w:t>
      </w:r>
      <w:r w:rsidR="00F31209">
        <w:rPr>
          <w:lang w:val="en-US"/>
        </w:rPr>
        <w:t>may not be physical access</w:t>
      </w:r>
      <w:r w:rsidRPr="00602572">
        <w:rPr>
          <w:lang w:val="en-US"/>
        </w:rPr>
        <w:t xml:space="preserve"> </w:t>
      </w:r>
      <w:r w:rsidR="00F31209">
        <w:rPr>
          <w:lang w:val="en-US"/>
        </w:rPr>
        <w:t xml:space="preserve">to </w:t>
      </w:r>
      <w:r w:rsidRPr="00602572">
        <w:rPr>
          <w:lang w:val="en-US"/>
        </w:rPr>
        <w:t>the ARP due to the expected integration of the transceiver and the antenna element. The impedance matching is directly related to the realized gain of the active array antenna. All the elements in the S</w:t>
      </w:r>
      <w:r w:rsidRPr="00602572">
        <w:rPr>
          <w:b/>
          <w:lang w:val="en-US"/>
        </w:rPr>
        <w:t>-</w:t>
      </w:r>
      <w:r w:rsidRPr="00602572">
        <w:rPr>
          <w:lang w:val="en-US"/>
        </w:rPr>
        <w:t>matrix are dependent of frequency.</w:t>
      </w:r>
      <w:r>
        <w:rPr>
          <w:lang w:val="en-US"/>
        </w:rPr>
        <w:t xml:space="preserve"> </w:t>
      </w:r>
      <w:r w:rsidRPr="00602572">
        <w:rPr>
          <w:lang w:val="en-US"/>
        </w:rPr>
        <w:t xml:space="preserve">In an active array antenna, the array excitation is determined by the total voltage, defined as the sum of forward and reflected voltage wave at the ARP. The voltages </w:t>
      </w:r>
      <w:r w:rsidR="00E91DAD">
        <w:rPr>
          <w:lang w:val="en-US"/>
        </w:rPr>
        <w:t>feed by the power amplifiers to the antenna array can be expressed as:</w:t>
      </w:r>
    </w:p>
    <w:p w14:paraId="21B4177D" w14:textId="6C3ACBBB" w:rsidR="00E91DAD" w:rsidRDefault="00E91DAD" w:rsidP="00E91DAD">
      <w:pPr>
        <w:pStyle w:val="BodyText"/>
        <w:jc w:val="center"/>
        <w:rPr>
          <w:lang w:val="en-US"/>
        </w:rPr>
      </w:pPr>
      <m:oMath>
        <m:r>
          <m:rPr>
            <m:sty m:val="b"/>
          </m:rPr>
          <w:rPr>
            <w:rFonts w:ascii="Cambria Math" w:hAnsi="Cambria Math"/>
            <w:lang w:val="en-US"/>
          </w:rPr>
          <m:t>a</m:t>
        </m:r>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N</m:t>
                    </m:r>
                  </m:sub>
                </m:sSub>
              </m:e>
            </m:d>
          </m:e>
          <m:sup>
            <m:r>
              <w:rPr>
                <w:rFonts w:ascii="Cambria Math" w:hAnsi="Cambria Math"/>
                <w:lang w:val="en-US"/>
              </w:rPr>
              <m:t>T</m:t>
            </m:r>
          </m:sup>
        </m:sSup>
      </m:oMath>
      <w:r>
        <w:rPr>
          <w:lang w:val="en-US"/>
        </w:rPr>
        <w:tab/>
      </w:r>
      <w:r>
        <w:rPr>
          <w:lang w:val="en-US"/>
        </w:rPr>
        <w:tab/>
        <w:t>(Eq. 2.1-3)</w:t>
      </w:r>
    </w:p>
    <w:p w14:paraId="7382ADA7" w14:textId="099AAB91" w:rsidR="00BF1263" w:rsidRDefault="00E91DAD" w:rsidP="00B201FA">
      <w:pPr>
        <w:pStyle w:val="BodyText"/>
      </w:pPr>
      <w:r>
        <w:rPr>
          <w:lang w:val="en-US"/>
        </w:rPr>
        <w:t xml:space="preserve">, </w:t>
      </w:r>
      <w:r w:rsidR="00B201FA" w:rsidRPr="00602572">
        <w:rPr>
          <w:lang w:val="en-US"/>
        </w:rPr>
        <w:t xml:space="preserve">where </w:t>
      </w:r>
      <w:r w:rsidRPr="00E91DAD">
        <w:rPr>
          <w:rFonts w:ascii="Calibra Math" w:hAnsi="Calibra Math"/>
          <w:i/>
          <w:lang w:val="en-US"/>
        </w:rPr>
        <w:t>a</w:t>
      </w:r>
      <w:r w:rsidRPr="00E91DAD">
        <w:rPr>
          <w:rFonts w:ascii="Calibra Math" w:hAnsi="Calibra Math"/>
          <w:i/>
          <w:vertAlign w:val="subscript"/>
          <w:lang w:val="en-US"/>
        </w:rPr>
        <w:t>n</w:t>
      </w:r>
      <w:r w:rsidR="00B201FA" w:rsidRPr="00602572">
        <w:t xml:space="preserve"> is </w:t>
      </w:r>
      <w:r>
        <w:t>a complex value descri</w:t>
      </w:r>
      <w:r w:rsidR="006D4048">
        <w:t>bing</w:t>
      </w:r>
      <w:r>
        <w:t xml:space="preserve"> </w:t>
      </w:r>
      <w:r w:rsidR="00B201FA" w:rsidRPr="00602572">
        <w:t>the forward voltage waves</w:t>
      </w:r>
      <w:r w:rsidR="006D4048">
        <w:t>.</w:t>
      </w:r>
      <w:r w:rsidR="003D2BF8">
        <w:t xml:space="preserve"> The </w:t>
      </w:r>
      <w:r w:rsidR="00BF1263">
        <w:t>backward voltages coming from matching effect and mutual coupling can be described as:</w:t>
      </w:r>
    </w:p>
    <w:p w14:paraId="0DB488A9" w14:textId="66F2273D" w:rsidR="00BF1263" w:rsidRDefault="00BF1263" w:rsidP="00BF1263">
      <w:pPr>
        <w:pStyle w:val="BodyText"/>
        <w:jc w:val="center"/>
      </w:pPr>
      <m:oMath>
        <m:r>
          <m:rPr>
            <m:sty m:val="b"/>
          </m:rPr>
          <w:rPr>
            <w:rFonts w:ascii="Cambria Math" w:hAnsi="Cambria Math"/>
          </w:rPr>
          <m:t>b=S∙a</m:t>
        </m:r>
      </m:oMath>
      <w:r>
        <w:tab/>
      </w:r>
      <w:r>
        <w:tab/>
        <w:t>(Eq. 2.1-4)</w:t>
      </w:r>
    </w:p>
    <w:p w14:paraId="169CEB2F" w14:textId="77777777" w:rsidR="00B201FA" w:rsidRPr="00602572" w:rsidRDefault="00B201FA" w:rsidP="00B201FA">
      <w:pPr>
        <w:pStyle w:val="BodyText"/>
        <w:rPr>
          <w:lang w:val="en-US"/>
        </w:rPr>
      </w:pPr>
      <w:r w:rsidRPr="00602572">
        <w:rPr>
          <w:lang w:val="en-US"/>
        </w:rPr>
        <w:t>The reflected power component is moving back-wards towards the power amplifier and must be handled properly (That is, the PA in the transceiver array should be designed such that the signal appearing at its output does not substantially disturb its behavior).</w:t>
      </w:r>
    </w:p>
    <w:p w14:paraId="1CF7245F" w14:textId="322EF6B2" w:rsidR="00B201FA" w:rsidRDefault="00BF1263" w:rsidP="00B201FA">
      <w:pPr>
        <w:pStyle w:val="BodyText"/>
        <w:rPr>
          <w:lang w:val="en-US"/>
        </w:rPr>
      </w:pPr>
      <w:r>
        <w:rPr>
          <w:lang w:val="en-US"/>
        </w:rPr>
        <w:t>For a loss less array antenna, the radiated power,</w:t>
      </w:r>
      <w:r w:rsidR="00B201FA" w:rsidRPr="00602572">
        <w:rPr>
          <w:lang w:val="en-US"/>
        </w:rPr>
        <w:t xml:space="preserve"> </w:t>
      </w:r>
      <w:proofErr w:type="spellStart"/>
      <w:r w:rsidR="00B201FA" w:rsidRPr="00BF1263">
        <w:rPr>
          <w:rFonts w:ascii="Calibra Math" w:hAnsi="Calibra Math"/>
          <w:i/>
          <w:lang w:val="en-US"/>
        </w:rPr>
        <w:t>P</w:t>
      </w:r>
      <w:r w:rsidRPr="00BF1263">
        <w:rPr>
          <w:rFonts w:ascii="Calibra Math" w:hAnsi="Calibra Math"/>
          <w:i/>
          <w:vertAlign w:val="subscript"/>
          <w:lang w:val="en-US"/>
        </w:rPr>
        <w:t>rad</w:t>
      </w:r>
      <w:proofErr w:type="spellEnd"/>
      <w:r w:rsidR="00B201FA" w:rsidRPr="00602572">
        <w:rPr>
          <w:lang w:val="en-US"/>
        </w:rPr>
        <w:t xml:space="preserve"> can be expressed as</w:t>
      </w:r>
      <w:r>
        <w:rPr>
          <w:lang w:val="en-US"/>
        </w:rPr>
        <w:t>:</w:t>
      </w:r>
    </w:p>
    <w:p w14:paraId="50526411" w14:textId="48B5B247" w:rsidR="00BF1263" w:rsidRPr="00602572" w:rsidRDefault="00E2301C" w:rsidP="00EE3245">
      <w:pPr>
        <w:pStyle w:val="BodyText"/>
        <w:jc w:val="center"/>
        <w:rPr>
          <w:lang w:val="en-US"/>
        </w:rPr>
      </w:pP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rad</m:t>
            </m:r>
          </m:sub>
        </m:sSub>
        <m:r>
          <w:rPr>
            <w:rFonts w:ascii="Cambria Math" w:hAnsi="Cambria Math"/>
            <w:lang w:val="en-US"/>
          </w:rPr>
          <m:t>=</m:t>
        </m:r>
        <m:sSup>
          <m:sSupPr>
            <m:ctrlPr>
              <w:rPr>
                <w:rFonts w:ascii="Cambria Math" w:hAnsi="Cambria Math"/>
                <w:i/>
                <w:lang w:val="en-US"/>
              </w:rPr>
            </m:ctrlPr>
          </m:sSupPr>
          <m:e>
            <m:r>
              <m:rPr>
                <m:sty m:val="b"/>
              </m:rPr>
              <w:rPr>
                <w:rFonts w:ascii="Cambria Math" w:hAnsi="Cambria Math"/>
                <w:lang w:val="en-US"/>
              </w:rPr>
              <m:t>a</m:t>
            </m:r>
          </m:e>
          <m:sup>
            <m:r>
              <w:rPr>
                <w:rFonts w:ascii="Cambria Math" w:hAnsi="Cambria Math"/>
                <w:lang w:val="en-US"/>
              </w:rPr>
              <m:t>H</m:t>
            </m:r>
          </m:sup>
        </m:sSup>
        <m:d>
          <m:dPr>
            <m:ctrlPr>
              <w:rPr>
                <w:rFonts w:ascii="Cambria Math" w:hAnsi="Cambria Math"/>
                <w:i/>
                <w:lang w:val="en-US"/>
              </w:rPr>
            </m:ctrlPr>
          </m:dPr>
          <m:e>
            <m:r>
              <m:rPr>
                <m:sty m:val="b"/>
              </m:rPr>
              <w:rPr>
                <w:rFonts w:ascii="Cambria Math" w:hAnsi="Cambria Math"/>
                <w:lang w:val="en-US"/>
              </w:rPr>
              <m:t>I</m:t>
            </m:r>
            <m:r>
              <w:rPr>
                <w:rFonts w:ascii="Cambria Math" w:hAnsi="Cambria Math"/>
                <w:lang w:val="en-US"/>
              </w:rPr>
              <m:t>-</m:t>
            </m:r>
            <m:r>
              <m:rPr>
                <m:sty m:val="b"/>
              </m:rPr>
              <w:rPr>
                <w:rFonts w:ascii="Cambria Math" w:hAnsi="Cambria Math"/>
                <w:lang w:val="en-US"/>
              </w:rPr>
              <m:t>S</m:t>
            </m:r>
            <m:sSup>
              <m:sSupPr>
                <m:ctrlPr>
                  <w:rPr>
                    <w:rFonts w:ascii="Cambria Math" w:hAnsi="Cambria Math"/>
                    <w:i/>
                    <w:lang w:val="en-US"/>
                  </w:rPr>
                </m:ctrlPr>
              </m:sSupPr>
              <m:e>
                <m:r>
                  <m:rPr>
                    <m:sty m:val="b"/>
                  </m:rPr>
                  <w:rPr>
                    <w:rFonts w:ascii="Cambria Math" w:hAnsi="Cambria Math"/>
                    <w:lang w:val="en-US"/>
                  </w:rPr>
                  <m:t>S</m:t>
                </m:r>
              </m:e>
              <m:sup>
                <m:r>
                  <w:rPr>
                    <w:rFonts w:ascii="Cambria Math" w:hAnsi="Cambria Math"/>
                    <w:lang w:val="en-US"/>
                  </w:rPr>
                  <m:t>H</m:t>
                </m:r>
              </m:sup>
            </m:sSup>
          </m:e>
        </m:d>
        <m:r>
          <m:rPr>
            <m:sty m:val="b"/>
          </m:rPr>
          <w:rPr>
            <w:rFonts w:ascii="Cambria Math" w:hAnsi="Cambria Math"/>
            <w:lang w:val="en-US"/>
          </w:rPr>
          <m:t>a</m:t>
        </m:r>
      </m:oMath>
      <w:r w:rsidR="00BF1263">
        <w:rPr>
          <w:b/>
          <w:lang w:val="en-US"/>
        </w:rPr>
        <w:tab/>
      </w:r>
      <w:r w:rsidR="00BF1263" w:rsidRPr="00EE3245">
        <w:rPr>
          <w:lang w:val="en-US"/>
        </w:rPr>
        <w:tab/>
        <w:t>(Eq. 2.1-5)</w:t>
      </w:r>
    </w:p>
    <w:p w14:paraId="3C5EC325" w14:textId="71276248" w:rsidR="00AA6FF9" w:rsidRDefault="00B201FA" w:rsidP="00B201FA">
      <w:pPr>
        <w:pStyle w:val="BodyText"/>
        <w:rPr>
          <w:lang w:val="en-US"/>
        </w:rPr>
      </w:pPr>
      <w:r w:rsidRPr="00602572">
        <w:rPr>
          <w:lang w:val="en-US"/>
        </w:rPr>
        <w:t xml:space="preserve">This means that the radiated power is a complex function of deployment parameters such as steering angle and design parameters such as antenna mutual coupling. </w:t>
      </w:r>
      <w:r w:rsidR="00BF1263">
        <w:rPr>
          <w:lang w:val="en-US"/>
        </w:rPr>
        <w:t>Hence</w:t>
      </w:r>
      <w:r w:rsidRPr="00602572">
        <w:rPr>
          <w:lang w:val="en-US"/>
        </w:rPr>
        <w:t xml:space="preserve">, EIRP will be a function of both </w:t>
      </w:r>
      <w:r w:rsidR="00EE3245">
        <w:rPr>
          <w:lang w:val="en-US"/>
        </w:rPr>
        <w:t>the power accepted by the antenna and array gain</w:t>
      </w:r>
      <w:r w:rsidRPr="00602572">
        <w:rPr>
          <w:lang w:val="en-US"/>
        </w:rPr>
        <w:t xml:space="preserve">, which both depends on the array excitation and mutual coupling characteristics of the array antenna. </w:t>
      </w:r>
      <w:r w:rsidR="00EE3245">
        <w:rPr>
          <w:lang w:val="en-US"/>
        </w:rPr>
        <w:t>With this type of analysis, phenomenon such as scan-loss and scan blindness will be captured properly, producing the correct composite EIRP vital for downlink performance.</w:t>
      </w:r>
      <w:r w:rsidR="00AA6FF9">
        <w:rPr>
          <w:lang w:val="en-US"/>
        </w:rPr>
        <w:t xml:space="preserve"> </w:t>
      </w:r>
    </w:p>
    <w:p w14:paraId="0EF26410" w14:textId="093F9506" w:rsidR="00B035E3" w:rsidRDefault="00B035E3" w:rsidP="00B201FA">
      <w:pPr>
        <w:pStyle w:val="BodyText"/>
        <w:rPr>
          <w:lang w:val="en-US"/>
        </w:rPr>
      </w:pPr>
      <w:r>
        <w:rPr>
          <w:lang w:val="en-US"/>
        </w:rPr>
        <w:t>A simplified model to calculate EIRP can be expressed as:</w:t>
      </w:r>
    </w:p>
    <w:p w14:paraId="3A04AFC6" w14:textId="37301C0B" w:rsidR="00990920" w:rsidRPr="006D3E8B" w:rsidRDefault="00990920" w:rsidP="006D3E8B">
      <w:pPr>
        <w:pStyle w:val="BodyText"/>
        <w:jc w:val="center"/>
      </w:pPr>
      <m:oMath>
        <m:r>
          <w:rPr>
            <w:rFonts w:ascii="Cambria Math" w:hAnsi="Cambria Math"/>
          </w:rPr>
          <m:t>EIRP</m:t>
        </m:r>
        <m:d>
          <m:dPr>
            <m:ctrlPr>
              <w:rPr>
                <w:rFonts w:ascii="Cambria Math" w:hAnsi="Cambria Math"/>
                <w:i/>
              </w:rPr>
            </m:ctrlPr>
          </m:dPr>
          <m:e>
            <m:r>
              <w:rPr>
                <w:rFonts w:ascii="Cambria Math" w:hAnsi="Cambria Math"/>
              </w:rPr>
              <m:t>θ,φ,f</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acc</m:t>
            </m:r>
          </m:sub>
        </m:sSub>
        <m: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d>
          <m:dPr>
            <m:ctrlPr>
              <w:rPr>
                <w:rFonts w:ascii="Cambria Math" w:hAnsi="Cambria Math"/>
                <w:i/>
              </w:rPr>
            </m:ctrlPr>
          </m:dPr>
          <m:e>
            <m:r>
              <w:rPr>
                <w:rFonts w:ascii="Cambria Math" w:hAnsi="Cambria Math"/>
              </w:rPr>
              <m:t>θ,φ,f</m:t>
            </m:r>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RDN</m:t>
            </m:r>
          </m:sub>
        </m:sSub>
      </m:oMath>
      <w:r>
        <w:tab/>
      </w:r>
      <w:r>
        <w:tab/>
        <w:t>(Eq. 2.1-6)</w:t>
      </w:r>
    </w:p>
    <w:p w14:paraId="196E79CF" w14:textId="77777777" w:rsidR="00B201FA" w:rsidRPr="00602572" w:rsidRDefault="00B201FA" w:rsidP="00B201FA">
      <w:pPr>
        <w:pStyle w:val="BodyText"/>
        <w:rPr>
          <w:lang w:val="en-US"/>
        </w:rPr>
      </w:pPr>
    </w:p>
    <w:p w14:paraId="3E43B864" w14:textId="77777777" w:rsidR="00B201FA" w:rsidRPr="00785EAE" w:rsidRDefault="00B201FA" w:rsidP="00B201FA">
      <w:pPr>
        <w:pStyle w:val="BodyText"/>
        <w:rPr>
          <w:rFonts w:ascii="Arial" w:hAnsi="Arial" w:cs="Arial"/>
        </w:rPr>
      </w:pPr>
      <w:r>
        <w:rPr>
          <w:rFonts w:ascii="Arial" w:hAnsi="Arial" w:cs="Arial"/>
        </w:rPr>
        <w:t>2.2</w:t>
      </w:r>
      <w:r>
        <w:rPr>
          <w:rFonts w:ascii="Arial" w:hAnsi="Arial" w:cs="Arial"/>
        </w:rPr>
        <w:tab/>
      </w:r>
      <w:r>
        <w:rPr>
          <w:rFonts w:ascii="Arial" w:hAnsi="Arial" w:cs="Arial"/>
        </w:rPr>
        <w:tab/>
        <w:t>Receiver</w:t>
      </w:r>
    </w:p>
    <w:p w14:paraId="4705A507" w14:textId="77777777" w:rsidR="00B201FA" w:rsidRPr="00602572" w:rsidRDefault="00B201FA" w:rsidP="00B201FA">
      <w:pPr>
        <w:pStyle w:val="BodyText"/>
      </w:pPr>
      <w:r w:rsidRPr="00602572">
        <w:t>For a</w:t>
      </w:r>
      <w:r>
        <w:t xml:space="preserve"> receiver</w:t>
      </w:r>
      <w:r w:rsidRPr="00602572">
        <w:t xml:space="preserve"> array antenna that consists of N antenna elements, where each element is routed to receiver front-end branch, the array gain is created in a summation point where signals and noise from all receiver branches are summed together, as showed in Figure 2</w:t>
      </w:r>
      <w:r>
        <w:t>.2</w:t>
      </w:r>
      <w:r w:rsidRPr="00602572">
        <w:t xml:space="preserve">-1. The principle architecture is just an example, different types of implementations exists with respect to the locations of frequency down-conversion, analogue-to-digital conversions and so forth, while the requirement level is maintained. </w:t>
      </w:r>
    </w:p>
    <w:p w14:paraId="49401F6D" w14:textId="77777777" w:rsidR="00B201FA" w:rsidRPr="00602572" w:rsidRDefault="00B201FA" w:rsidP="00973EB1">
      <w:pPr>
        <w:spacing w:after="120"/>
        <w:ind w:firstLine="1134"/>
      </w:pPr>
      <w:r w:rsidRPr="00602572">
        <w:rPr>
          <w:noProof/>
        </w:rPr>
        <w:lastRenderedPageBreak/>
        <w:drawing>
          <wp:inline distT="0" distB="0" distL="0" distR="0" wp14:anchorId="42692154" wp14:editId="00DB04A2">
            <wp:extent cx="4076700" cy="230742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6308" cy="2324185"/>
                    </a:xfrm>
                    <a:prstGeom prst="rect">
                      <a:avLst/>
                    </a:prstGeom>
                    <a:noFill/>
                    <a:ln>
                      <a:noFill/>
                    </a:ln>
                  </pic:spPr>
                </pic:pic>
              </a:graphicData>
            </a:graphic>
          </wp:inline>
        </w:drawing>
      </w:r>
    </w:p>
    <w:p w14:paraId="3C0261A7" w14:textId="77777777" w:rsidR="00B201FA" w:rsidRPr="00602572" w:rsidRDefault="00B201FA" w:rsidP="00B201FA">
      <w:pPr>
        <w:keepLines/>
        <w:spacing w:after="240"/>
        <w:jc w:val="center"/>
        <w:rPr>
          <w:rFonts w:ascii="Arial" w:hAnsi="Arial"/>
          <w:b/>
        </w:rPr>
      </w:pPr>
      <w:r w:rsidRPr="00602572">
        <w:rPr>
          <w:rFonts w:ascii="Arial" w:hAnsi="Arial"/>
          <w:b/>
          <w:lang w:eastAsia="ja-JP"/>
        </w:rPr>
        <w:t xml:space="preserve">Figure </w:t>
      </w:r>
      <w:r w:rsidRPr="00602572">
        <w:rPr>
          <w:rFonts w:ascii="Arial" w:hAnsi="Arial"/>
          <w:b/>
        </w:rPr>
        <w:t>2</w:t>
      </w:r>
      <w:r>
        <w:rPr>
          <w:rFonts w:ascii="Arial" w:hAnsi="Arial"/>
          <w:b/>
        </w:rPr>
        <w:t>.2</w:t>
      </w:r>
      <w:r w:rsidRPr="00602572">
        <w:rPr>
          <w:rFonts w:ascii="Arial" w:hAnsi="Arial"/>
          <w:b/>
        </w:rPr>
        <w:t xml:space="preserve">-1: Principle architecture </w:t>
      </w:r>
    </w:p>
    <w:p w14:paraId="60FBF8DC" w14:textId="10E47078" w:rsidR="00B201FA" w:rsidRDefault="00B201FA" w:rsidP="00B201FA">
      <w:pPr>
        <w:pStyle w:val="BodyText"/>
      </w:pPr>
      <w:r w:rsidRPr="00602572">
        <w:t xml:space="preserve">For simplicity it is assumed that all branches are equal in terms of </w:t>
      </w:r>
      <w:proofErr w:type="spellStart"/>
      <w:proofErr w:type="gramStart"/>
      <w:r w:rsidRPr="007C2912">
        <w:rPr>
          <w:rFonts w:ascii="Calibra Math" w:hAnsi="Calibra Math"/>
          <w:i/>
        </w:rPr>
        <w:t>G</w:t>
      </w:r>
      <w:r w:rsidRPr="007C2912">
        <w:rPr>
          <w:rFonts w:ascii="Calibra Math" w:hAnsi="Calibra Math"/>
          <w:i/>
          <w:vertAlign w:val="subscript"/>
        </w:rPr>
        <w:t>E,n</w:t>
      </w:r>
      <w:proofErr w:type="spellEnd"/>
      <w:proofErr w:type="gramEnd"/>
      <w:r w:rsidRPr="00602572">
        <w:t xml:space="preserve">, </w:t>
      </w:r>
      <w:r w:rsidRPr="007C2912">
        <w:rPr>
          <w:rFonts w:ascii="Calibra Math" w:hAnsi="Calibra Math"/>
          <w:i/>
        </w:rPr>
        <w:t>G</w:t>
      </w:r>
      <w:r w:rsidRPr="007C2912">
        <w:rPr>
          <w:rFonts w:ascii="Calibra Math" w:hAnsi="Calibra Math"/>
          <w:i/>
          <w:vertAlign w:val="subscript"/>
        </w:rPr>
        <w:t>1,n</w:t>
      </w:r>
      <w:r w:rsidRPr="00602572">
        <w:t xml:space="preserve">, </w:t>
      </w:r>
      <w:r w:rsidRPr="007C2912">
        <w:rPr>
          <w:rFonts w:ascii="Calibra Math" w:hAnsi="Calibra Math"/>
          <w:i/>
        </w:rPr>
        <w:t>F</w:t>
      </w:r>
      <w:r w:rsidRPr="007C2912">
        <w:rPr>
          <w:rFonts w:ascii="Calibra Math" w:hAnsi="Calibra Math"/>
          <w:i/>
          <w:vertAlign w:val="subscript"/>
        </w:rPr>
        <w:t>1,n</w:t>
      </w:r>
      <w:r w:rsidRPr="00602572">
        <w:t xml:space="preserve">. Also, all amplitude weights are set to </w:t>
      </w:r>
      <w:proofErr w:type="spellStart"/>
      <w:r w:rsidRPr="007C2912">
        <w:rPr>
          <w:rFonts w:ascii="Calibra Math" w:hAnsi="Calibra Math"/>
          <w:i/>
        </w:rPr>
        <w:t>w</w:t>
      </w:r>
      <w:r w:rsidRPr="007C2912">
        <w:rPr>
          <w:rFonts w:ascii="Calibra Math" w:hAnsi="Calibra Math"/>
          <w:i/>
          <w:vertAlign w:val="subscript"/>
        </w:rPr>
        <w:t>n</w:t>
      </w:r>
      <w:proofErr w:type="spellEnd"/>
      <w:r w:rsidRPr="007C2912">
        <w:rPr>
          <w:rFonts w:ascii="Calibra Math" w:hAnsi="Calibra Math"/>
          <w:i/>
        </w:rPr>
        <w:t>=1</w:t>
      </w:r>
      <w:r w:rsidRPr="00602572">
        <w:t>.</w:t>
      </w:r>
      <w:r>
        <w:t xml:space="preserve"> </w:t>
      </w:r>
      <w:r w:rsidRPr="00602572">
        <w:t xml:space="preserve">With </w:t>
      </w:r>
      <w:r w:rsidR="00EE3245" w:rsidRPr="00602572">
        <w:t>these assumptions</w:t>
      </w:r>
      <w:r w:rsidRPr="00602572">
        <w:t xml:space="preserve">, EIS can be determined </w:t>
      </w:r>
      <w:r w:rsidR="007C2912">
        <w:t xml:space="preserve">in logarithmical scale in dBm </w:t>
      </w:r>
      <w:r w:rsidRPr="00602572">
        <w:t>as:</w:t>
      </w:r>
    </w:p>
    <w:p w14:paraId="643635BF" w14:textId="4E853C9A" w:rsidR="00EE3245" w:rsidRPr="00602572" w:rsidRDefault="00EE3245" w:rsidP="007C2912">
      <w:pPr>
        <w:pStyle w:val="BodyText"/>
        <w:jc w:val="center"/>
      </w:pPr>
      <m:oMath>
        <m:r>
          <w:rPr>
            <w:rFonts w:ascii="Cambria Math" w:hAnsi="Cambria Math"/>
          </w:rPr>
          <m:t>EIS=SNR-174+10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
              <w:rPr>
                <w:rFonts w:ascii="Cambria Math" w:hAnsi="Cambria Math"/>
              </w:rPr>
              <m:t>B</m:t>
            </m:r>
          </m:e>
        </m:d>
        <m:r>
          <w:rPr>
            <w:rFonts w:ascii="Cambria Math" w:hAnsi="Cambria Math"/>
          </w:rPr>
          <m:t>+F-10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oMath>
      <w:r>
        <w:tab/>
      </w:r>
      <w:r>
        <w:tab/>
        <w:t>(Eq. 2.2-1)</w:t>
      </w:r>
    </w:p>
    <w:p w14:paraId="1193A3FC" w14:textId="4C09044E" w:rsidR="00B201FA" w:rsidRDefault="00B201FA" w:rsidP="00B201FA">
      <w:pPr>
        <w:pStyle w:val="BodyText"/>
      </w:pPr>
      <w:r w:rsidRPr="00602572">
        <w:t xml:space="preserve">, where </w:t>
      </w:r>
      <w:r w:rsidRPr="007C2912">
        <w:rPr>
          <w:rFonts w:ascii="Calibra Math" w:hAnsi="Calibra Math"/>
          <w:i/>
        </w:rPr>
        <w:t>B</w:t>
      </w:r>
      <w:r w:rsidRPr="00602572">
        <w:t xml:space="preserve"> is the bandwidth in Hz, </w:t>
      </w:r>
      <w:r w:rsidRPr="007C2912">
        <w:rPr>
          <w:rFonts w:ascii="Calibra Math" w:hAnsi="Calibra Math"/>
          <w:i/>
        </w:rPr>
        <w:t>F</w:t>
      </w:r>
      <w:r w:rsidRPr="00602572">
        <w:t xml:space="preserve"> is the noise figure per receiver branch in dB, </w:t>
      </w:r>
      <w:r w:rsidRPr="007C2912">
        <w:rPr>
          <w:rFonts w:ascii="Calibra Math" w:hAnsi="Calibra Math"/>
          <w:i/>
        </w:rPr>
        <w:t>N</w:t>
      </w:r>
      <w:r w:rsidRPr="00602572">
        <w:t xml:space="preserve"> is the supported number of array elements per polarization and </w:t>
      </w:r>
      <w:r w:rsidRPr="007C2912">
        <w:rPr>
          <w:rFonts w:ascii="Calibra Math" w:hAnsi="Calibra Math"/>
          <w:i/>
        </w:rPr>
        <w:t>G</w:t>
      </w:r>
      <w:r w:rsidRPr="007C2912">
        <w:rPr>
          <w:rFonts w:ascii="Calibra Math" w:hAnsi="Calibra Math"/>
          <w:i/>
          <w:vertAlign w:val="subscript"/>
        </w:rPr>
        <w:t>E</w:t>
      </w:r>
      <w:r w:rsidRPr="00602572">
        <w:t xml:space="preserve"> is the element gain. The signal-to-noise ratio at the detector (SNR) is associated to a link quality threshold part of the </w:t>
      </w:r>
      <w:r w:rsidR="007C2912">
        <w:t xml:space="preserve">OTA </w:t>
      </w:r>
      <w:r w:rsidRPr="00602572">
        <w:t>sensitivity requirement. Eq</w:t>
      </w:r>
      <w:r w:rsidR="00AF0420">
        <w:t>.</w:t>
      </w:r>
      <w:r w:rsidRPr="00602572">
        <w:t xml:space="preserve"> </w:t>
      </w:r>
      <w:r>
        <w:t>2.2-</w:t>
      </w:r>
      <w:r w:rsidRPr="00602572">
        <w:t>1, gives a lower bound in EIS, for an implementation. This model mandates certain implementation by hard wire the element separation to 0.5</w:t>
      </w:r>
      <w:r w:rsidRPr="00602572">
        <w:rPr>
          <w:rFonts w:ascii="Symbol" w:hAnsi="Symbol"/>
        </w:rPr>
        <w:t></w:t>
      </w:r>
      <w:r w:rsidRPr="00602572">
        <w:t xml:space="preserve"> as one example. Also, it does not capture scan-loss and system noise figure properly</w:t>
      </w:r>
      <w:r>
        <w:t xml:space="preserve">. </w:t>
      </w:r>
      <w:r w:rsidRPr="00602572">
        <w:t xml:space="preserve">Since RAN4 now is deriving a minimum requirement EIS level (maximum EIS level in absolute terms) as reference to other up-link requirements it is crucial to understand the background. The minimum requirement level to be set needs to apply for the bore-sight direction as well in other directions, therefore the spatial aspects of EIS needs further considerations. Also, at higher frequencies losses due to material and mechanical tolerances cannot be neglected as for FR1.The very simplified model used in </w:t>
      </w:r>
      <w:r w:rsidR="00973EB1" w:rsidRPr="00602572">
        <w:t>Eq</w:t>
      </w:r>
      <w:r w:rsidR="00973EB1">
        <w:t>. 2.2-1</w:t>
      </w:r>
      <w:r w:rsidRPr="00602572">
        <w:t xml:space="preserve"> is therefore expanded, to capture spatial characteristics and implementation losses </w:t>
      </w:r>
      <w:r w:rsidR="007C2912">
        <w:t xml:space="preserve">for the frequency range 7000 to 24000 MHz </w:t>
      </w:r>
      <w:r w:rsidRPr="00602572">
        <w:t>as:</w:t>
      </w:r>
    </w:p>
    <w:p w14:paraId="13459371" w14:textId="3101867B" w:rsidR="007C2912" w:rsidRPr="00602572" w:rsidRDefault="007C2912" w:rsidP="000855D2">
      <w:pPr>
        <w:pStyle w:val="BodyText"/>
        <w:jc w:val="center"/>
      </w:pPr>
      <m:oMath>
        <m:r>
          <w:rPr>
            <w:rFonts w:ascii="Cambria Math" w:hAnsi="Cambria Math"/>
          </w:rPr>
          <m:t>EIS</m:t>
        </m:r>
        <m:d>
          <m:dPr>
            <m:ctrlPr>
              <w:rPr>
                <w:rFonts w:ascii="Cambria Math" w:hAnsi="Cambria Math"/>
                <w:i/>
              </w:rPr>
            </m:ctrlPr>
          </m:dPr>
          <m:e>
            <m:r>
              <w:rPr>
                <w:rFonts w:ascii="Cambria Math" w:hAnsi="Cambria Math"/>
              </w:rPr>
              <m:t>θ,φ,f</m:t>
            </m:r>
          </m:e>
        </m:d>
        <m:r>
          <w:rPr>
            <w:rFonts w:ascii="Cambria Math" w:hAnsi="Cambria Math"/>
          </w:rPr>
          <m:t>=SNR+kT+10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
              <w:rPr>
                <w:rFonts w:ascii="Cambria Math" w:hAnsi="Cambria Math"/>
              </w:rPr>
              <m:t>B</m:t>
            </m:r>
          </m:e>
        </m:d>
        <m:r>
          <w:rPr>
            <w:rFonts w:ascii="Cambria Math" w:hAnsi="Cambria Math"/>
          </w:rPr>
          <m:t>+F</m:t>
        </m:r>
        <m:d>
          <m:dPr>
            <m:ctrlPr>
              <w:rPr>
                <w:rFonts w:ascii="Cambria Math" w:hAnsi="Cambria Math"/>
                <w:i/>
              </w:rPr>
            </m:ctrlPr>
          </m:dPr>
          <m:e>
            <m:r>
              <w:rPr>
                <w:rFonts w:ascii="Cambria Math" w:hAnsi="Cambria Math"/>
              </w:rPr>
              <m:t>f</m:t>
            </m:r>
          </m:e>
        </m:d>
        <m: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d>
          <m:dPr>
            <m:ctrlPr>
              <w:rPr>
                <w:rFonts w:ascii="Cambria Math" w:hAnsi="Cambria Math"/>
                <w:i/>
              </w:rPr>
            </m:ctrlPr>
          </m:dPr>
          <m:e>
            <m:r>
              <w:rPr>
                <w:rFonts w:ascii="Cambria Math" w:hAnsi="Cambria Math"/>
              </w:rPr>
              <m:t>θ,φ,f</m:t>
            </m:r>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RDN</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m:t>
            </m:r>
          </m:sub>
        </m:sSub>
      </m:oMath>
      <w:r w:rsidR="000855D2">
        <w:tab/>
      </w:r>
      <w:r w:rsidR="000855D2">
        <w:tab/>
        <w:t>(Eq. 2.2-2)</w:t>
      </w:r>
    </w:p>
    <w:p w14:paraId="6337FA63" w14:textId="7CBFF9C1" w:rsidR="00B201FA" w:rsidRPr="00602572" w:rsidRDefault="00B201FA" w:rsidP="000855D2">
      <w:pPr>
        <w:pStyle w:val="BodyText"/>
      </w:pPr>
      <w:r w:rsidRPr="00602572">
        <w:t xml:space="preserve">, where </w:t>
      </w:r>
      <w:r w:rsidRPr="000855D2">
        <w:rPr>
          <w:rFonts w:ascii="Calibra Math" w:hAnsi="Calibra Math"/>
          <w:i/>
        </w:rPr>
        <w:t>G</w:t>
      </w:r>
      <w:r w:rsidRPr="000855D2">
        <w:rPr>
          <w:rFonts w:ascii="Calibra Math" w:hAnsi="Calibra Math"/>
          <w:i/>
          <w:vertAlign w:val="subscript"/>
        </w:rPr>
        <w:t>E</w:t>
      </w:r>
      <w:r w:rsidRPr="000855D2">
        <w:rPr>
          <w:rFonts w:ascii="Calibra Math" w:hAnsi="Calibra Math"/>
          <w:i/>
        </w:rPr>
        <w:t>=D</w:t>
      </w:r>
      <w:r w:rsidRPr="000855D2">
        <w:rPr>
          <w:rFonts w:ascii="Calibra Math" w:hAnsi="Calibra Math"/>
          <w:i/>
          <w:vertAlign w:val="subscript"/>
        </w:rPr>
        <w:t>E</w:t>
      </w:r>
      <w:r w:rsidRPr="000855D2">
        <w:rPr>
          <w:rFonts w:ascii="Calibra Math" w:hAnsi="Calibra Math"/>
          <w:i/>
        </w:rPr>
        <w:t>-L</w:t>
      </w:r>
      <w:r w:rsidRPr="000855D2">
        <w:rPr>
          <w:rFonts w:ascii="Calibra Math" w:hAnsi="Calibra Math"/>
          <w:i/>
          <w:vertAlign w:val="subscript"/>
        </w:rPr>
        <w:t>E</w:t>
      </w:r>
      <w:r w:rsidR="000855D2">
        <w:t xml:space="preserve">, </w:t>
      </w:r>
      <w:r w:rsidRPr="000855D2">
        <w:rPr>
          <w:rFonts w:ascii="Calibra Math" w:hAnsi="Calibra Math"/>
          <w:i/>
        </w:rPr>
        <w:t>D</w:t>
      </w:r>
      <w:r w:rsidRPr="000855D2">
        <w:rPr>
          <w:rFonts w:ascii="Calibra Math" w:hAnsi="Calibra Math"/>
          <w:i/>
          <w:vertAlign w:val="subscript"/>
        </w:rPr>
        <w:t>E</w:t>
      </w:r>
      <w:r w:rsidRPr="00602572">
        <w:t xml:space="preserve"> is the element directivity, </w:t>
      </w:r>
      <w:r w:rsidRPr="000855D2">
        <w:rPr>
          <w:rFonts w:ascii="Calibra Math" w:hAnsi="Calibra Math"/>
          <w:i/>
        </w:rPr>
        <w:t>L</w:t>
      </w:r>
      <w:r w:rsidRPr="000855D2">
        <w:rPr>
          <w:rFonts w:ascii="Calibra Math" w:hAnsi="Calibra Math"/>
          <w:i/>
          <w:vertAlign w:val="subscript"/>
        </w:rPr>
        <w:t>E</w:t>
      </w:r>
      <w:r w:rsidRPr="00602572">
        <w:t xml:space="preserve"> is the dissipative loss in the element, </w:t>
      </w:r>
      <w:r w:rsidRPr="000855D2">
        <w:rPr>
          <w:rFonts w:ascii="Calibra Math" w:hAnsi="Calibra Math"/>
          <w:i/>
        </w:rPr>
        <w:t>L</w:t>
      </w:r>
      <w:r w:rsidRPr="000855D2">
        <w:rPr>
          <w:rFonts w:ascii="Calibra Math" w:hAnsi="Calibra Math"/>
          <w:i/>
          <w:vertAlign w:val="subscript"/>
        </w:rPr>
        <w:t>S</w:t>
      </w:r>
      <w:r w:rsidRPr="00602572">
        <w:t xml:space="preserve"> is a directivity scan-loss factor due to steering, </w:t>
      </w:r>
      <w:r w:rsidRPr="000855D2">
        <w:rPr>
          <w:rFonts w:ascii="Calibra Math" w:hAnsi="Calibra Math"/>
          <w:i/>
        </w:rPr>
        <w:t>L</w:t>
      </w:r>
      <w:r w:rsidRPr="000855D2">
        <w:rPr>
          <w:rFonts w:ascii="Calibra Math" w:hAnsi="Calibra Math"/>
          <w:i/>
          <w:vertAlign w:val="subscript"/>
        </w:rPr>
        <w:t>R</w:t>
      </w:r>
      <w:r w:rsidRPr="00602572">
        <w:t xml:space="preserve"> is a loss factor related to </w:t>
      </w:r>
      <w:proofErr w:type="spellStart"/>
      <w:r w:rsidRPr="00602572">
        <w:t>radome</w:t>
      </w:r>
      <w:proofErr w:type="spellEnd"/>
      <w:r w:rsidRPr="00602572">
        <w:t xml:space="preserve"> losses, </w:t>
      </w:r>
      <w:r w:rsidRPr="000855D2">
        <w:rPr>
          <w:rFonts w:ascii="Calibra Math" w:hAnsi="Calibra Math"/>
          <w:i/>
        </w:rPr>
        <w:t>L</w:t>
      </w:r>
      <w:r w:rsidRPr="000855D2">
        <w:rPr>
          <w:rFonts w:ascii="Calibra Math" w:hAnsi="Calibra Math"/>
          <w:i/>
          <w:vertAlign w:val="subscript"/>
        </w:rPr>
        <w:t>P</w:t>
      </w:r>
      <w:r w:rsidRPr="00602572">
        <w:t xml:space="preserve"> is a polarization loss, </w:t>
      </w:r>
      <w:r w:rsidRPr="000855D2">
        <w:rPr>
          <w:rFonts w:ascii="Calibra Math" w:hAnsi="Calibra Math"/>
          <w:i/>
        </w:rPr>
        <w:t>L</w:t>
      </w:r>
      <w:r w:rsidRPr="000855D2">
        <w:rPr>
          <w:rFonts w:ascii="Calibra Math" w:hAnsi="Calibra Math"/>
          <w:i/>
          <w:vertAlign w:val="subscript"/>
        </w:rPr>
        <w:t>RDN</w:t>
      </w:r>
      <w:r w:rsidRPr="00602572">
        <w:t xml:space="preserve"> is a transmission loss in the feeder network aka. RDN due to transmission loss and matching loss and </w:t>
      </w:r>
      <w:r w:rsidRPr="000855D2">
        <w:rPr>
          <w:rFonts w:ascii="Calibra Math" w:hAnsi="Calibra Math"/>
          <w:i/>
        </w:rPr>
        <w:t>L</w:t>
      </w:r>
      <w:r w:rsidRPr="000855D2">
        <w:rPr>
          <w:rFonts w:ascii="Calibra Math" w:hAnsi="Calibra Math"/>
          <w:i/>
          <w:vertAlign w:val="subscript"/>
        </w:rPr>
        <w:t>C</w:t>
      </w:r>
      <w:r w:rsidRPr="00602572">
        <w:t xml:space="preserve"> is a combination loss, due to non-perfect coherent combining. </w:t>
      </w:r>
    </w:p>
    <w:p w14:paraId="758D8A91" w14:textId="77777777" w:rsidR="00B201FA" w:rsidRPr="00602572" w:rsidRDefault="00B201FA" w:rsidP="00B201FA">
      <w:pPr>
        <w:pStyle w:val="BodyText"/>
      </w:pPr>
    </w:p>
    <w:p w14:paraId="5209DE60" w14:textId="7649B3B9" w:rsidR="00B201FA" w:rsidRPr="00602572" w:rsidRDefault="00B201FA" w:rsidP="00B201FA">
      <w:pPr>
        <w:pStyle w:val="BodyText"/>
        <w:rPr>
          <w:rFonts w:ascii="Arial" w:hAnsi="Arial" w:cs="Arial"/>
        </w:rPr>
      </w:pPr>
      <w:r>
        <w:rPr>
          <w:rFonts w:ascii="Arial" w:hAnsi="Arial" w:cs="Arial"/>
        </w:rPr>
        <w:t>2.3</w:t>
      </w:r>
      <w:r>
        <w:rPr>
          <w:rFonts w:ascii="Arial" w:hAnsi="Arial" w:cs="Arial"/>
        </w:rPr>
        <w:tab/>
      </w:r>
      <w:r>
        <w:rPr>
          <w:rFonts w:ascii="Arial" w:hAnsi="Arial" w:cs="Arial"/>
        </w:rPr>
        <w:tab/>
      </w:r>
      <w:r w:rsidRPr="00602572">
        <w:rPr>
          <w:rFonts w:ascii="Arial" w:hAnsi="Arial" w:cs="Arial"/>
        </w:rPr>
        <w:t xml:space="preserve">Antenna </w:t>
      </w:r>
      <w:r w:rsidR="00F9212B">
        <w:rPr>
          <w:rFonts w:ascii="Arial" w:hAnsi="Arial" w:cs="Arial"/>
        </w:rPr>
        <w:t>Enclosure</w:t>
      </w:r>
    </w:p>
    <w:p w14:paraId="5FA4F2E6" w14:textId="5F0270F8" w:rsidR="00B201FA" w:rsidRDefault="00B201FA" w:rsidP="00B201FA">
      <w:pPr>
        <w:pStyle w:val="BodyText"/>
      </w:pPr>
      <w:r w:rsidRPr="00602572">
        <w:t xml:space="preserve">The antenna </w:t>
      </w:r>
      <w:r w:rsidR="008B71CD">
        <w:t>enclosure</w:t>
      </w:r>
      <w:r w:rsidR="008B71CD" w:rsidRPr="00602572">
        <w:t xml:space="preserve"> </w:t>
      </w:r>
      <w:r w:rsidRPr="00602572">
        <w:t xml:space="preserve">function as a protective shell around an antenna. </w:t>
      </w:r>
      <w:r w:rsidR="00340223">
        <w:t xml:space="preserve">The antenna is protected </w:t>
      </w:r>
      <w:bookmarkStart w:id="1" w:name="_GoBack"/>
      <w:bookmarkEnd w:id="1"/>
      <w:r w:rsidRPr="00602572">
        <w:t xml:space="preserve">against weather impact such as rain, snow, salt, and UV radiation that can cause reduction of the electromagnetic properties of the antenna. The most basic </w:t>
      </w:r>
      <w:r w:rsidR="00BF7450">
        <w:t>antenna enclosure</w:t>
      </w:r>
      <w:r w:rsidRPr="00602572">
        <w:t xml:space="preserve"> could be just a piece of cover material of a certain thickness that is placed above the antenna at a certain distance. It can be shaped to follow the antenna structure itself, or just simply a planar sheet of some material. This simple </w:t>
      </w:r>
      <w:r w:rsidR="00562EDA">
        <w:t>enclosure</w:t>
      </w:r>
      <w:r w:rsidRPr="00602572">
        <w:t xml:space="preserve"> has only one layer, but to give strength to the mechanical design, a sandwich structure could be used. </w:t>
      </w:r>
    </w:p>
    <w:p w14:paraId="512321A0" w14:textId="1F1C9115" w:rsidR="00562EDA" w:rsidRDefault="00562EDA" w:rsidP="00B201FA">
      <w:pPr>
        <w:pStyle w:val="BodyText"/>
      </w:pPr>
      <w:r>
        <w:t>For integrated base station</w:t>
      </w:r>
      <w:r w:rsidR="00B3566C">
        <w:t>s</w:t>
      </w:r>
      <w:r>
        <w:t xml:space="preserve"> </w:t>
      </w:r>
      <w:r w:rsidR="00217E8D">
        <w:t xml:space="preserve">a common enclosure is used both for transceiver electronics and the antenna as showed in Figure 2.3-1. The </w:t>
      </w:r>
      <w:r w:rsidR="00563E92">
        <w:t>electromagnetic</w:t>
      </w:r>
      <w:r w:rsidR="00217E8D">
        <w:t xml:space="preserve"> </w:t>
      </w:r>
      <w:r w:rsidR="00563E92">
        <w:t xml:space="preserve">part of the base station enclosure is often referred to as the antenna </w:t>
      </w:r>
      <w:proofErr w:type="spellStart"/>
      <w:r w:rsidR="00563E92">
        <w:t>radome</w:t>
      </w:r>
      <w:proofErr w:type="spellEnd"/>
      <w:r w:rsidR="00563E92">
        <w:t xml:space="preserve">. </w:t>
      </w:r>
      <w:r w:rsidR="00B3566C">
        <w:t xml:space="preserve"> </w:t>
      </w:r>
    </w:p>
    <w:p w14:paraId="107CCF81" w14:textId="2A055C7F" w:rsidR="00743A95" w:rsidRDefault="00743A95" w:rsidP="006D3E8B">
      <w:pPr>
        <w:pStyle w:val="BodyText"/>
        <w:ind w:firstLine="3686"/>
      </w:pPr>
      <w:r w:rsidRPr="00743A95">
        <w:rPr>
          <w:noProof/>
        </w:rPr>
        <w:lastRenderedPageBreak/>
        <w:drawing>
          <wp:inline distT="0" distB="0" distL="0" distR="0" wp14:anchorId="3779EF69" wp14:editId="1EEBFB4C">
            <wp:extent cx="1733767"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0172" cy="2600371"/>
                    </a:xfrm>
                    <a:prstGeom prst="rect">
                      <a:avLst/>
                    </a:prstGeom>
                    <a:noFill/>
                    <a:ln>
                      <a:noFill/>
                    </a:ln>
                  </pic:spPr>
                </pic:pic>
              </a:graphicData>
            </a:graphic>
          </wp:inline>
        </w:drawing>
      </w:r>
    </w:p>
    <w:p w14:paraId="1814BBB0" w14:textId="07B51A29" w:rsidR="00B035E3" w:rsidRPr="006D3E8B" w:rsidRDefault="00B035E3" w:rsidP="006D3E8B">
      <w:pPr>
        <w:keepLines/>
        <w:spacing w:after="240"/>
        <w:jc w:val="center"/>
        <w:rPr>
          <w:rFonts w:ascii="Arial" w:hAnsi="Arial"/>
          <w:b/>
        </w:rPr>
      </w:pPr>
      <w:r w:rsidRPr="00602572">
        <w:rPr>
          <w:rFonts w:ascii="Arial" w:hAnsi="Arial"/>
          <w:b/>
          <w:lang w:eastAsia="ja-JP"/>
        </w:rPr>
        <w:t xml:space="preserve">Figure </w:t>
      </w:r>
      <w:r w:rsidRPr="00602572">
        <w:rPr>
          <w:rFonts w:ascii="Arial" w:hAnsi="Arial"/>
          <w:b/>
        </w:rPr>
        <w:t>2</w:t>
      </w:r>
      <w:r>
        <w:rPr>
          <w:rFonts w:ascii="Arial" w:hAnsi="Arial"/>
          <w:b/>
        </w:rPr>
        <w:t>.3</w:t>
      </w:r>
      <w:r w:rsidRPr="00602572">
        <w:rPr>
          <w:rFonts w:ascii="Arial" w:hAnsi="Arial"/>
          <w:b/>
        </w:rPr>
        <w:t xml:space="preserve">-1: </w:t>
      </w:r>
      <w:r w:rsidR="00AF6638">
        <w:rPr>
          <w:rFonts w:ascii="Arial" w:hAnsi="Arial"/>
          <w:b/>
        </w:rPr>
        <w:t>Antenna and enclosure interaction</w:t>
      </w:r>
    </w:p>
    <w:p w14:paraId="56073C38" w14:textId="3BF6664D" w:rsidR="00B201FA" w:rsidRPr="00602572" w:rsidRDefault="00B201FA" w:rsidP="00B201FA">
      <w:pPr>
        <w:pStyle w:val="BodyText"/>
      </w:pPr>
      <w:r w:rsidRPr="00602572">
        <w:t>Typical, for passive base station antennas</w:t>
      </w:r>
      <w:r w:rsidR="005F6658">
        <w:t xml:space="preserve"> operating within FR1</w:t>
      </w:r>
      <w:r w:rsidRPr="00602572">
        <w:t xml:space="preserve">, the </w:t>
      </w:r>
      <w:proofErr w:type="spellStart"/>
      <w:r w:rsidRPr="00602572">
        <w:t>radome</w:t>
      </w:r>
      <w:proofErr w:type="spellEnd"/>
      <w:r w:rsidRPr="00602572">
        <w:t xml:space="preserve"> is designed in homogeneous plastic material. In modern </w:t>
      </w:r>
      <w:proofErr w:type="spellStart"/>
      <w:r w:rsidRPr="00602572">
        <w:t>radome</w:t>
      </w:r>
      <w:proofErr w:type="spellEnd"/>
      <w:r w:rsidRPr="00602572">
        <w:t xml:space="preserve"> design, usually some sort of plastic material strengthened with fiberglass, quartz, etc. is used. The different layers are usually held together with polyester, epoxy, and other resins. The bearing materials often have dielectric properties with high relative permittivity constant. In a sandwich structure, foam or honeycomb material with low permittivity is often placed between stiffer materials for the mechanical/structural strength and rigidity. This structured </w:t>
      </w:r>
      <w:proofErr w:type="spellStart"/>
      <w:r w:rsidRPr="00602572">
        <w:t>radome</w:t>
      </w:r>
      <w:proofErr w:type="spellEnd"/>
      <w:r w:rsidRPr="00602572">
        <w:t xml:space="preserve"> makes the electromagnetic properties more complex than a simple dielectric slab. </w:t>
      </w:r>
    </w:p>
    <w:p w14:paraId="6E9E01F0" w14:textId="367B8009" w:rsidR="00B201FA" w:rsidRDefault="00B201FA" w:rsidP="00B201FA">
      <w:pPr>
        <w:pStyle w:val="BodyText"/>
      </w:pPr>
      <w:proofErr w:type="gramStart"/>
      <w:r w:rsidRPr="00602572">
        <w:t>As a general rule</w:t>
      </w:r>
      <w:proofErr w:type="gramEnd"/>
      <w:r w:rsidRPr="00602572">
        <w:t xml:space="preserve"> for </w:t>
      </w:r>
      <w:proofErr w:type="spellStart"/>
      <w:r w:rsidRPr="00602572">
        <w:t>radome</w:t>
      </w:r>
      <w:proofErr w:type="spellEnd"/>
      <w:r w:rsidRPr="00602572">
        <w:t xml:space="preserve"> design is that it should be invisible at the frequency of design. This may be accomplished for a certain frequency and for normal incidence to the </w:t>
      </w:r>
      <w:proofErr w:type="spellStart"/>
      <w:r w:rsidRPr="00602572">
        <w:t>radome</w:t>
      </w:r>
      <w:proofErr w:type="spellEnd"/>
      <w:r w:rsidRPr="00602572">
        <w:t xml:space="preserve">. The signal loss due to the </w:t>
      </w:r>
      <w:proofErr w:type="spellStart"/>
      <w:r w:rsidRPr="00602572">
        <w:t>radome</w:t>
      </w:r>
      <w:proofErr w:type="spellEnd"/>
      <w:r w:rsidRPr="00602572">
        <w:t xml:space="preserve"> can be split up is three main contributions; dissipative loss, reflections loss and directivity loss. The dissipative loss is associate</w:t>
      </w:r>
      <w:r w:rsidR="000855D2">
        <w:t>d</w:t>
      </w:r>
      <w:r w:rsidRPr="00602572">
        <w:t xml:space="preserve"> to the selected </w:t>
      </w:r>
      <w:proofErr w:type="spellStart"/>
      <w:r w:rsidRPr="00602572">
        <w:t>radome</w:t>
      </w:r>
      <w:proofErr w:type="spellEnd"/>
      <w:r w:rsidRPr="00602572">
        <w:t xml:space="preserve"> material parameters.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D2FE398" w14:textId="274B8254" w:rsidR="007916ED" w:rsidRDefault="007916ED" w:rsidP="003B61A8">
      <w:pPr>
        <w:pStyle w:val="BodyText"/>
      </w:pPr>
      <w:r w:rsidRPr="007916ED">
        <w:t xml:space="preserve">A traditional base station antenna or an AAS base station consists of radio electronics an array antenna protected by a common enclosure. The enclosure protects against environmental factors, such as wind, rain, and dirt. The enclosure protecting the antenna also referred to as an antenna </w:t>
      </w:r>
      <w:proofErr w:type="spellStart"/>
      <w:r w:rsidRPr="007916ED">
        <w:t>radome</w:t>
      </w:r>
      <w:proofErr w:type="spellEnd"/>
      <w:r w:rsidRPr="007916ED">
        <w:t xml:space="preserve"> and</w:t>
      </w:r>
      <w:r>
        <w:t xml:space="preserve"> </w:t>
      </w:r>
      <w:r w:rsidRPr="007916ED">
        <w:t>is part of the mechanical structure of the base station enclosure which means that industrial design aspects and mechanical strength aspects are important.</w:t>
      </w:r>
      <w:r>
        <w:t xml:space="preserve"> Together will the array antenna and radio electronics </w:t>
      </w:r>
      <w:r w:rsidR="002B4512">
        <w:t xml:space="preserve">the base station can control spatial selectivity via beam-forming processing. </w:t>
      </w:r>
    </w:p>
    <w:p w14:paraId="3A5A4901" w14:textId="6CCDF58C" w:rsidR="00973EB1" w:rsidRDefault="00973EB1" w:rsidP="003B61A8">
      <w:pPr>
        <w:pStyle w:val="BodyText"/>
      </w:pPr>
      <w:r>
        <w:t xml:space="preserve">In this contribution, we present some fundamental background information relevant for the coming work to define OTA requirements for the frequency range 7000 to 24000 GHz. </w:t>
      </w:r>
    </w:p>
    <w:p w14:paraId="3451F804" w14:textId="62B25C0B" w:rsidR="003A5DB3" w:rsidRDefault="003A5DB3" w:rsidP="003B61A8">
      <w:pPr>
        <w:pStyle w:val="BodyText"/>
      </w:pPr>
      <w:r>
        <w:t>T</w:t>
      </w:r>
      <w:r w:rsidR="009A4264">
        <w:t xml:space="preserve">o be </w:t>
      </w:r>
      <w:r w:rsidR="009B42C4">
        <w:t>able</w:t>
      </w:r>
      <w:r w:rsidR="009A4264">
        <w:t xml:space="preserve"> to model and understand the</w:t>
      </w:r>
      <w:r>
        <w:t xml:space="preserve"> </w:t>
      </w:r>
      <w:r w:rsidR="009A4264">
        <w:t xml:space="preserve">antenna characteristics </w:t>
      </w:r>
      <w:r w:rsidR="00B47232">
        <w:t xml:space="preserve">(including the </w:t>
      </w:r>
      <w:proofErr w:type="spellStart"/>
      <w:r w:rsidR="00B47232">
        <w:t>radome</w:t>
      </w:r>
      <w:proofErr w:type="spellEnd"/>
      <w:r w:rsidR="00B47232">
        <w:t xml:space="preserve">) </w:t>
      </w:r>
      <w:r w:rsidR="009B42C4">
        <w:t xml:space="preserve">within the frequency </w:t>
      </w:r>
      <w:r w:rsidR="00B8382C">
        <w:t xml:space="preserve">range 7000 MHz to 24000 MHz </w:t>
      </w:r>
      <w:r w:rsidR="00B47232">
        <w:t>careful</w:t>
      </w:r>
      <w:r w:rsidR="009A4264">
        <w:t xml:space="preserve"> considerations is required</w:t>
      </w:r>
      <w:r w:rsidR="009B42C4">
        <w:t>.</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A855870" w14:textId="6AC9A645" w:rsidR="00B201FA" w:rsidRDefault="00B201FA" w:rsidP="00B201FA">
      <w:pPr>
        <w:ind w:left="709" w:hanging="709"/>
      </w:pPr>
      <w:r>
        <w:t>[1]</w:t>
      </w:r>
      <w:r>
        <w:tab/>
        <w:t>R4-1609857, “TP for TR 38.803: Micro-wave and millimetre-wave antenna considerations”, Ericsson</w:t>
      </w:r>
    </w:p>
    <w:p w14:paraId="0C2E4EC7" w14:textId="2D16AD1F" w:rsidR="003F13F6" w:rsidRDefault="00B201FA" w:rsidP="003F13F6">
      <w:pPr>
        <w:ind w:left="709" w:hanging="709"/>
      </w:pPr>
      <w:r>
        <w:t xml:space="preserve">[2] </w:t>
      </w:r>
      <w:r>
        <w:tab/>
        <w:t>R4-1713023, “Array antenna receiver characteristics”, Ericsso</w:t>
      </w:r>
      <w:bookmarkEnd w:id="0"/>
      <w:r w:rsidR="003F13F6">
        <w:t>n</w:t>
      </w:r>
    </w:p>
    <w:p w14:paraId="7185828F" w14:textId="77777777" w:rsidR="005C7173" w:rsidRDefault="005C7173" w:rsidP="005C7173"/>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B9DA4" w14:textId="77777777" w:rsidR="000A17B5" w:rsidRDefault="000A17B5">
      <w:r>
        <w:separator/>
      </w:r>
    </w:p>
  </w:endnote>
  <w:endnote w:type="continuationSeparator" w:id="0">
    <w:p w14:paraId="1FBB5A5C" w14:textId="77777777" w:rsidR="000A17B5" w:rsidRDefault="000A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a 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F31209" w:rsidRDefault="00F312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7126A" w14:textId="77777777" w:rsidR="000A17B5" w:rsidRDefault="000A17B5">
      <w:r>
        <w:separator/>
      </w:r>
    </w:p>
  </w:footnote>
  <w:footnote w:type="continuationSeparator" w:id="0">
    <w:p w14:paraId="4F7603D7" w14:textId="77777777" w:rsidR="000A17B5" w:rsidRDefault="000A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F31209" w:rsidRDefault="00F31209">
    <w:pPr>
      <w:framePr w:h="284" w:hRule="exact" w:wrap="around" w:vAnchor="text" w:hAnchor="margin" w:xAlign="right" w:y="1"/>
      <w:rPr>
        <w:rFonts w:ascii="Arial" w:hAnsi="Arial" w:cs="Arial"/>
        <w:b/>
        <w:sz w:val="18"/>
        <w:szCs w:val="18"/>
      </w:rPr>
    </w:pPr>
  </w:p>
  <w:p w14:paraId="528BFD4A" w14:textId="77777777" w:rsidR="00F31209" w:rsidRDefault="00F312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F80DE11" w14:textId="77777777" w:rsidR="00F31209" w:rsidRDefault="00F31209">
    <w:pPr>
      <w:framePr w:h="284" w:hRule="exact" w:wrap="around" w:vAnchor="text" w:hAnchor="margin" w:y="7"/>
      <w:rPr>
        <w:rFonts w:ascii="Arial" w:hAnsi="Arial" w:cs="Arial"/>
        <w:b/>
        <w:sz w:val="18"/>
        <w:szCs w:val="18"/>
      </w:rPr>
    </w:pPr>
  </w:p>
  <w:p w14:paraId="6DD41860" w14:textId="77777777" w:rsidR="00F31209" w:rsidRDefault="00F312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A"/>
    <w:rsid w:val="00033397"/>
    <w:rsid w:val="00040095"/>
    <w:rsid w:val="00051834"/>
    <w:rsid w:val="00054A22"/>
    <w:rsid w:val="000560CC"/>
    <w:rsid w:val="000655A6"/>
    <w:rsid w:val="000741B0"/>
    <w:rsid w:val="00076B56"/>
    <w:rsid w:val="00080512"/>
    <w:rsid w:val="000855D2"/>
    <w:rsid w:val="00085E89"/>
    <w:rsid w:val="00094D53"/>
    <w:rsid w:val="00096009"/>
    <w:rsid w:val="000A17B5"/>
    <w:rsid w:val="000C70AB"/>
    <w:rsid w:val="000D58AB"/>
    <w:rsid w:val="000D696C"/>
    <w:rsid w:val="000E1DEA"/>
    <w:rsid w:val="000E5B99"/>
    <w:rsid w:val="000E632F"/>
    <w:rsid w:val="000F0805"/>
    <w:rsid w:val="00101ABA"/>
    <w:rsid w:val="00106F91"/>
    <w:rsid w:val="0011719A"/>
    <w:rsid w:val="001329A4"/>
    <w:rsid w:val="00153796"/>
    <w:rsid w:val="00155B44"/>
    <w:rsid w:val="00176C71"/>
    <w:rsid w:val="001862BC"/>
    <w:rsid w:val="001C1DF4"/>
    <w:rsid w:val="001D02C2"/>
    <w:rsid w:val="001D3AE3"/>
    <w:rsid w:val="001E62AA"/>
    <w:rsid w:val="001F168B"/>
    <w:rsid w:val="001F33FD"/>
    <w:rsid w:val="0021397D"/>
    <w:rsid w:val="00217E8D"/>
    <w:rsid w:val="00231DE5"/>
    <w:rsid w:val="0023254C"/>
    <w:rsid w:val="00233592"/>
    <w:rsid w:val="002347A2"/>
    <w:rsid w:val="00234967"/>
    <w:rsid w:val="00241D8F"/>
    <w:rsid w:val="00263BEA"/>
    <w:rsid w:val="00280CDB"/>
    <w:rsid w:val="00293FBE"/>
    <w:rsid w:val="002A0978"/>
    <w:rsid w:val="002B067D"/>
    <w:rsid w:val="002B0AA9"/>
    <w:rsid w:val="002B0B48"/>
    <w:rsid w:val="002B3047"/>
    <w:rsid w:val="002B4512"/>
    <w:rsid w:val="002E2D39"/>
    <w:rsid w:val="002F1E03"/>
    <w:rsid w:val="003172DC"/>
    <w:rsid w:val="003348D7"/>
    <w:rsid w:val="003351F8"/>
    <w:rsid w:val="00340223"/>
    <w:rsid w:val="0035462D"/>
    <w:rsid w:val="00355CCA"/>
    <w:rsid w:val="00361E87"/>
    <w:rsid w:val="003851EA"/>
    <w:rsid w:val="003930E0"/>
    <w:rsid w:val="003A5DB3"/>
    <w:rsid w:val="003A6AF3"/>
    <w:rsid w:val="003B1D4A"/>
    <w:rsid w:val="003B2125"/>
    <w:rsid w:val="003B61A8"/>
    <w:rsid w:val="003C3971"/>
    <w:rsid w:val="003D2BF8"/>
    <w:rsid w:val="003F13F6"/>
    <w:rsid w:val="00406F44"/>
    <w:rsid w:val="004239C7"/>
    <w:rsid w:val="00425B99"/>
    <w:rsid w:val="00425DBA"/>
    <w:rsid w:val="00467DD2"/>
    <w:rsid w:val="00477E15"/>
    <w:rsid w:val="004A4210"/>
    <w:rsid w:val="004B2479"/>
    <w:rsid w:val="004B372C"/>
    <w:rsid w:val="004B5078"/>
    <w:rsid w:val="004D3578"/>
    <w:rsid w:val="004E0C1D"/>
    <w:rsid w:val="004E213A"/>
    <w:rsid w:val="004E29CC"/>
    <w:rsid w:val="004F3D4C"/>
    <w:rsid w:val="004F4D5A"/>
    <w:rsid w:val="00543E6C"/>
    <w:rsid w:val="00552AEC"/>
    <w:rsid w:val="00562EDA"/>
    <w:rsid w:val="00563E92"/>
    <w:rsid w:val="00565087"/>
    <w:rsid w:val="0059160C"/>
    <w:rsid w:val="00592A9D"/>
    <w:rsid w:val="00594E26"/>
    <w:rsid w:val="005B3C73"/>
    <w:rsid w:val="005B4A0A"/>
    <w:rsid w:val="005C2897"/>
    <w:rsid w:val="005C7173"/>
    <w:rsid w:val="005D2E01"/>
    <w:rsid w:val="005D3EE8"/>
    <w:rsid w:val="005F6658"/>
    <w:rsid w:val="00602857"/>
    <w:rsid w:val="00612061"/>
    <w:rsid w:val="00614FDF"/>
    <w:rsid w:val="00617822"/>
    <w:rsid w:val="0062745C"/>
    <w:rsid w:val="006437A9"/>
    <w:rsid w:val="006639DB"/>
    <w:rsid w:val="0067455F"/>
    <w:rsid w:val="00674E7D"/>
    <w:rsid w:val="006D1100"/>
    <w:rsid w:val="006D3E8B"/>
    <w:rsid w:val="006D4048"/>
    <w:rsid w:val="006E4509"/>
    <w:rsid w:val="006E5C86"/>
    <w:rsid w:val="006E6E72"/>
    <w:rsid w:val="007148E4"/>
    <w:rsid w:val="007170B2"/>
    <w:rsid w:val="00734A5B"/>
    <w:rsid w:val="00743A95"/>
    <w:rsid w:val="00744E76"/>
    <w:rsid w:val="007577CB"/>
    <w:rsid w:val="00771315"/>
    <w:rsid w:val="00781F0F"/>
    <w:rsid w:val="007916ED"/>
    <w:rsid w:val="007A0F21"/>
    <w:rsid w:val="007B4A73"/>
    <w:rsid w:val="007C2912"/>
    <w:rsid w:val="007C4C45"/>
    <w:rsid w:val="007E015A"/>
    <w:rsid w:val="007F52D4"/>
    <w:rsid w:val="008028A4"/>
    <w:rsid w:val="00805820"/>
    <w:rsid w:val="00843454"/>
    <w:rsid w:val="00866A6B"/>
    <w:rsid w:val="00872E34"/>
    <w:rsid w:val="008768CA"/>
    <w:rsid w:val="008877E6"/>
    <w:rsid w:val="008A7089"/>
    <w:rsid w:val="008B71CD"/>
    <w:rsid w:val="008B735F"/>
    <w:rsid w:val="008C0085"/>
    <w:rsid w:val="008C2529"/>
    <w:rsid w:val="008F6912"/>
    <w:rsid w:val="0090271F"/>
    <w:rsid w:val="00902E23"/>
    <w:rsid w:val="0090598A"/>
    <w:rsid w:val="00907978"/>
    <w:rsid w:val="0091348E"/>
    <w:rsid w:val="00917CCB"/>
    <w:rsid w:val="009228DF"/>
    <w:rsid w:val="0092774C"/>
    <w:rsid w:val="009312CB"/>
    <w:rsid w:val="00942EC2"/>
    <w:rsid w:val="00944C13"/>
    <w:rsid w:val="00955118"/>
    <w:rsid w:val="00973EB1"/>
    <w:rsid w:val="00974355"/>
    <w:rsid w:val="00990920"/>
    <w:rsid w:val="009A2D2D"/>
    <w:rsid w:val="009A4264"/>
    <w:rsid w:val="009B13F6"/>
    <w:rsid w:val="009B42C4"/>
    <w:rsid w:val="009B5100"/>
    <w:rsid w:val="009C0901"/>
    <w:rsid w:val="009E6B34"/>
    <w:rsid w:val="009F2181"/>
    <w:rsid w:val="009F37B7"/>
    <w:rsid w:val="00A10F02"/>
    <w:rsid w:val="00A164B4"/>
    <w:rsid w:val="00A32DAB"/>
    <w:rsid w:val="00A50C60"/>
    <w:rsid w:val="00A53724"/>
    <w:rsid w:val="00A77774"/>
    <w:rsid w:val="00A82346"/>
    <w:rsid w:val="00AA6223"/>
    <w:rsid w:val="00AA6FF9"/>
    <w:rsid w:val="00AB0039"/>
    <w:rsid w:val="00AC17A1"/>
    <w:rsid w:val="00AE5B39"/>
    <w:rsid w:val="00AF0420"/>
    <w:rsid w:val="00AF6638"/>
    <w:rsid w:val="00B035E3"/>
    <w:rsid w:val="00B14246"/>
    <w:rsid w:val="00B15449"/>
    <w:rsid w:val="00B201FA"/>
    <w:rsid w:val="00B25779"/>
    <w:rsid w:val="00B3566C"/>
    <w:rsid w:val="00B360D3"/>
    <w:rsid w:val="00B47232"/>
    <w:rsid w:val="00B476B7"/>
    <w:rsid w:val="00B57386"/>
    <w:rsid w:val="00B8382C"/>
    <w:rsid w:val="00B84768"/>
    <w:rsid w:val="00B9145F"/>
    <w:rsid w:val="00B96C0C"/>
    <w:rsid w:val="00BC0F7D"/>
    <w:rsid w:val="00BF1095"/>
    <w:rsid w:val="00BF1263"/>
    <w:rsid w:val="00BF1C81"/>
    <w:rsid w:val="00BF54F7"/>
    <w:rsid w:val="00BF7450"/>
    <w:rsid w:val="00C17A60"/>
    <w:rsid w:val="00C3275C"/>
    <w:rsid w:val="00C33079"/>
    <w:rsid w:val="00C33557"/>
    <w:rsid w:val="00C371B3"/>
    <w:rsid w:val="00C40B50"/>
    <w:rsid w:val="00C45231"/>
    <w:rsid w:val="00C6035E"/>
    <w:rsid w:val="00C620BA"/>
    <w:rsid w:val="00C72833"/>
    <w:rsid w:val="00C92C8B"/>
    <w:rsid w:val="00C93F40"/>
    <w:rsid w:val="00CA3B1D"/>
    <w:rsid w:val="00CA3D0C"/>
    <w:rsid w:val="00CA3D41"/>
    <w:rsid w:val="00CA47BF"/>
    <w:rsid w:val="00CB380A"/>
    <w:rsid w:val="00CC3F7F"/>
    <w:rsid w:val="00CD110C"/>
    <w:rsid w:val="00D11B3A"/>
    <w:rsid w:val="00D2544C"/>
    <w:rsid w:val="00D4682F"/>
    <w:rsid w:val="00D47522"/>
    <w:rsid w:val="00D53580"/>
    <w:rsid w:val="00D56778"/>
    <w:rsid w:val="00D738D6"/>
    <w:rsid w:val="00D755EB"/>
    <w:rsid w:val="00D75A39"/>
    <w:rsid w:val="00D87E00"/>
    <w:rsid w:val="00D9134D"/>
    <w:rsid w:val="00D96451"/>
    <w:rsid w:val="00DA7A03"/>
    <w:rsid w:val="00DB1818"/>
    <w:rsid w:val="00DC309B"/>
    <w:rsid w:val="00DC4DA2"/>
    <w:rsid w:val="00DF2B1F"/>
    <w:rsid w:val="00DF62CD"/>
    <w:rsid w:val="00E13370"/>
    <w:rsid w:val="00E2301C"/>
    <w:rsid w:val="00E31BD8"/>
    <w:rsid w:val="00E411F0"/>
    <w:rsid w:val="00E41C4A"/>
    <w:rsid w:val="00E52913"/>
    <w:rsid w:val="00E77645"/>
    <w:rsid w:val="00E90EEC"/>
    <w:rsid w:val="00E91DAD"/>
    <w:rsid w:val="00E91F90"/>
    <w:rsid w:val="00EA7C61"/>
    <w:rsid w:val="00EC01B0"/>
    <w:rsid w:val="00EC4A25"/>
    <w:rsid w:val="00ED39D9"/>
    <w:rsid w:val="00EE3245"/>
    <w:rsid w:val="00EF1994"/>
    <w:rsid w:val="00EF1FC5"/>
    <w:rsid w:val="00F025A2"/>
    <w:rsid w:val="00F04712"/>
    <w:rsid w:val="00F12948"/>
    <w:rsid w:val="00F210FB"/>
    <w:rsid w:val="00F22EC7"/>
    <w:rsid w:val="00F252CC"/>
    <w:rsid w:val="00F26CEE"/>
    <w:rsid w:val="00F31209"/>
    <w:rsid w:val="00F51534"/>
    <w:rsid w:val="00F653B8"/>
    <w:rsid w:val="00F9212B"/>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CommentReference">
    <w:name w:val="annotation reference"/>
    <w:basedOn w:val="DefaultParagraphFont"/>
    <w:rsid w:val="00B201FA"/>
    <w:rPr>
      <w:sz w:val="16"/>
      <w:szCs w:val="16"/>
    </w:rPr>
  </w:style>
  <w:style w:type="paragraph" w:styleId="CommentText">
    <w:name w:val="annotation text"/>
    <w:basedOn w:val="Normal"/>
    <w:link w:val="CommentTextChar"/>
    <w:rsid w:val="00B201FA"/>
  </w:style>
  <w:style w:type="character" w:customStyle="1" w:styleId="CommentTextChar">
    <w:name w:val="Comment Text Char"/>
    <w:basedOn w:val="DefaultParagraphFont"/>
    <w:link w:val="CommentText"/>
    <w:rsid w:val="00B201FA"/>
    <w:rPr>
      <w:lang w:val="en-GB" w:eastAsia="en-US"/>
    </w:rPr>
  </w:style>
  <w:style w:type="character" w:styleId="PlaceholderText">
    <w:name w:val="Placeholder Text"/>
    <w:basedOn w:val="DefaultParagraphFont"/>
    <w:uiPriority w:val="99"/>
    <w:semiHidden/>
    <w:rsid w:val="003B21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5E2B7-674F-460E-A5A1-C970C51D6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6</Pages>
  <Words>3070</Words>
  <Characters>17617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44</cp:revision>
  <cp:lastPrinted>2019-01-24T14:33:00Z</cp:lastPrinted>
  <dcterms:created xsi:type="dcterms:W3CDTF">2019-02-11T09:21:00Z</dcterms:created>
  <dcterms:modified xsi:type="dcterms:W3CDTF">2019-02-15T14:02:00Z</dcterms:modified>
</cp:coreProperties>
</file>