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7AA0" w:rsidRPr="00C90043" w:rsidRDefault="00377AA0" w:rsidP="00377AA0">
      <w:pPr>
        <w:pStyle w:val="Header"/>
        <w:rPr>
          <w:rFonts w:cs="Arial"/>
          <w:sz w:val="24"/>
          <w:szCs w:val="24"/>
          <w:lang w:val="de-DE"/>
        </w:rPr>
      </w:pPr>
      <w:r>
        <w:rPr>
          <w:rFonts w:cs="Arial"/>
          <w:sz w:val="24"/>
          <w:szCs w:val="24"/>
          <w:lang w:val="de-DE"/>
        </w:rPr>
        <w:t xml:space="preserve">3GPP </w:t>
      </w:r>
      <w:r w:rsidR="00013BA6" w:rsidRPr="003F1AEB">
        <w:rPr>
          <w:rFonts w:cs="Arial"/>
          <w:color w:val="000000"/>
          <w:sz w:val="24"/>
          <w:szCs w:val="24"/>
        </w:rPr>
        <w:t>TSG-RAN WG4</w:t>
      </w:r>
      <w:r w:rsidR="00013BA6" w:rsidRPr="003F1AEB">
        <w:rPr>
          <w:rFonts w:cs="Arial"/>
          <w:color w:val="000000"/>
          <w:sz w:val="24"/>
          <w:szCs w:val="24"/>
          <w:lang w:eastAsia="ja-JP"/>
        </w:rPr>
        <w:t xml:space="preserve"> #86 Meeting            </w:t>
      </w:r>
      <w:r w:rsidR="00013BA6" w:rsidRPr="003F1AEB">
        <w:rPr>
          <w:rFonts w:cs="Arial"/>
          <w:color w:val="000000"/>
          <w:sz w:val="24"/>
          <w:szCs w:val="24"/>
        </w:rPr>
        <w:t xml:space="preserve">               </w:t>
      </w:r>
      <w:r w:rsidR="00013BA6">
        <w:rPr>
          <w:rFonts w:cs="Arial"/>
          <w:color w:val="000000"/>
          <w:sz w:val="24"/>
          <w:szCs w:val="24"/>
        </w:rPr>
        <w:tab/>
      </w:r>
      <w:r w:rsidR="00013BA6">
        <w:rPr>
          <w:rFonts w:cs="Arial"/>
          <w:color w:val="000000"/>
          <w:sz w:val="24"/>
          <w:szCs w:val="24"/>
        </w:rPr>
        <w:tab/>
      </w:r>
      <w:r>
        <w:rPr>
          <w:rFonts w:cs="Arial"/>
          <w:sz w:val="24"/>
          <w:szCs w:val="24"/>
          <w:lang w:val="de-DE"/>
        </w:rPr>
        <w:tab/>
      </w:r>
      <w:r w:rsidRPr="00C90043">
        <w:rPr>
          <w:rFonts w:cs="Arial"/>
          <w:sz w:val="24"/>
          <w:szCs w:val="24"/>
          <w:lang w:val="de-DE"/>
        </w:rPr>
        <w:tab/>
      </w:r>
      <w:r w:rsidR="00CB2636" w:rsidRPr="00CB2636">
        <w:rPr>
          <w:rFonts w:cs="Arial"/>
          <w:bCs/>
          <w:color w:val="808080"/>
          <w:sz w:val="26"/>
          <w:szCs w:val="26"/>
        </w:rPr>
        <w:t>R4-1802158</w:t>
      </w:r>
      <w:bookmarkStart w:id="0" w:name="_GoBack"/>
      <w:bookmarkEnd w:id="0"/>
    </w:p>
    <w:p w:rsidR="00377AA0" w:rsidRDefault="000A22C5" w:rsidP="00377AA0">
      <w:pPr>
        <w:pStyle w:val="Header"/>
        <w:rPr>
          <w:rFonts w:cs="Arial"/>
          <w:sz w:val="24"/>
          <w:szCs w:val="24"/>
          <w:lang w:val="de-DE"/>
        </w:rPr>
      </w:pPr>
      <w:r>
        <w:rPr>
          <w:rFonts w:cs="Arial"/>
          <w:sz w:val="24"/>
          <w:szCs w:val="24"/>
          <w:lang w:val="de-DE"/>
        </w:rPr>
        <w:t>Athens</w:t>
      </w:r>
      <w:r w:rsidR="00377AA0" w:rsidRPr="00AA57B6">
        <w:rPr>
          <w:rFonts w:cs="Arial"/>
          <w:sz w:val="24"/>
          <w:szCs w:val="24"/>
          <w:lang w:val="de-DE"/>
        </w:rPr>
        <w:t xml:space="preserve">, </w:t>
      </w:r>
      <w:r>
        <w:rPr>
          <w:rFonts w:cs="Arial"/>
          <w:sz w:val="24"/>
          <w:szCs w:val="24"/>
          <w:lang w:val="de-DE"/>
        </w:rPr>
        <w:t>Greece</w:t>
      </w:r>
      <w:r w:rsidR="00377AA0" w:rsidRPr="00AA57B6">
        <w:rPr>
          <w:rFonts w:cs="Arial"/>
          <w:sz w:val="24"/>
          <w:szCs w:val="24"/>
          <w:lang w:val="de-DE"/>
        </w:rPr>
        <w:t xml:space="preserve">, </w:t>
      </w:r>
      <w:r w:rsidR="003126C6">
        <w:rPr>
          <w:rFonts w:cs="Arial"/>
          <w:sz w:val="24"/>
          <w:szCs w:val="24"/>
          <w:lang w:val="de-DE"/>
        </w:rPr>
        <w:t>26</w:t>
      </w:r>
      <w:r w:rsidR="00013BA6" w:rsidRPr="00013BA6">
        <w:rPr>
          <w:rFonts w:cs="Arial"/>
          <w:sz w:val="24"/>
          <w:szCs w:val="24"/>
          <w:vertAlign w:val="superscript"/>
          <w:lang w:val="de-DE"/>
        </w:rPr>
        <w:t>th</w:t>
      </w:r>
      <w:r w:rsidR="003126C6">
        <w:rPr>
          <w:rFonts w:cs="Arial"/>
          <w:sz w:val="24"/>
          <w:szCs w:val="24"/>
          <w:lang w:val="de-DE"/>
        </w:rPr>
        <w:t xml:space="preserve"> February</w:t>
      </w:r>
      <w:r w:rsidR="00377AA0">
        <w:rPr>
          <w:rFonts w:cs="Arial"/>
          <w:sz w:val="24"/>
          <w:szCs w:val="24"/>
          <w:lang w:val="de-DE"/>
        </w:rPr>
        <w:t xml:space="preserve">, 2018 – </w:t>
      </w:r>
      <w:r w:rsidR="003126C6">
        <w:rPr>
          <w:rFonts w:cs="Arial"/>
          <w:sz w:val="24"/>
          <w:szCs w:val="24"/>
          <w:lang w:val="de-DE"/>
        </w:rPr>
        <w:t>0</w:t>
      </w:r>
      <w:r w:rsidR="00377AA0">
        <w:rPr>
          <w:rFonts w:cs="Arial"/>
          <w:sz w:val="24"/>
          <w:szCs w:val="24"/>
          <w:lang w:val="de-DE"/>
        </w:rPr>
        <w:t>2</w:t>
      </w:r>
      <w:r w:rsidR="00013BA6" w:rsidRPr="00013BA6">
        <w:rPr>
          <w:rFonts w:cs="Arial"/>
          <w:sz w:val="24"/>
          <w:szCs w:val="24"/>
          <w:vertAlign w:val="superscript"/>
          <w:lang w:val="de-DE"/>
        </w:rPr>
        <w:t>nd</w:t>
      </w:r>
      <w:r w:rsidR="00377AA0" w:rsidRPr="00AA57B6">
        <w:rPr>
          <w:rFonts w:cs="Arial"/>
          <w:sz w:val="24"/>
          <w:szCs w:val="24"/>
          <w:lang w:val="de-DE"/>
        </w:rPr>
        <w:t xml:space="preserve"> </w:t>
      </w:r>
      <w:r w:rsidR="003126C6">
        <w:rPr>
          <w:rFonts w:cs="Arial"/>
          <w:sz w:val="24"/>
          <w:szCs w:val="24"/>
          <w:lang w:val="de-DE"/>
        </w:rPr>
        <w:t>March, 2018</w:t>
      </w:r>
    </w:p>
    <w:p w:rsidR="00377AA0" w:rsidRDefault="00377AA0" w:rsidP="00377AA0">
      <w:pPr>
        <w:pStyle w:val="Header"/>
        <w:rPr>
          <w:b w:val="0"/>
          <w:sz w:val="24"/>
        </w:rPr>
      </w:pPr>
    </w:p>
    <w:p w:rsidR="00377AA0" w:rsidRDefault="00377AA0" w:rsidP="00377AA0">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3A0534">
        <w:rPr>
          <w:rFonts w:ascii="Arial" w:hAnsi="Arial"/>
          <w:sz w:val="24"/>
          <w:lang w:val="en-US"/>
        </w:rPr>
        <w:t>NXP Semiconductors Netherlands</w:t>
      </w:r>
    </w:p>
    <w:p w:rsidR="00377AA0" w:rsidRDefault="00377AA0" w:rsidP="00377AA0">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66C25">
        <w:rPr>
          <w:rFonts w:ascii="Arial" w:hAnsi="Arial"/>
          <w:sz w:val="24"/>
          <w:lang w:val="en-US"/>
        </w:rPr>
        <w:t xml:space="preserve">Follow-up on </w:t>
      </w:r>
      <w:r w:rsidR="00066C25" w:rsidRPr="00066C25">
        <w:rPr>
          <w:rFonts w:ascii="Arial" w:hAnsi="Arial"/>
          <w:sz w:val="24"/>
          <w:lang w:val="en-US"/>
        </w:rPr>
        <w:t>R4-1800944</w:t>
      </w:r>
      <w:r w:rsidR="009E4488">
        <w:rPr>
          <w:rFonts w:ascii="Arial" w:hAnsi="Arial"/>
          <w:sz w:val="24"/>
          <w:lang w:val="en-US"/>
        </w:rPr>
        <w:t>: Boresight and 40deg scan angle EIRP of an antenna module</w:t>
      </w:r>
    </w:p>
    <w:p w:rsidR="00377AA0" w:rsidRPr="006C4F7C" w:rsidRDefault="00377AA0" w:rsidP="00377AA0">
      <w:pPr>
        <w:tabs>
          <w:tab w:val="left" w:pos="1985"/>
        </w:tabs>
        <w:ind w:left="1980" w:hanging="1980"/>
        <w:rPr>
          <w:rFonts w:ascii="Arial" w:hAnsi="Arial" w:cs="Arial"/>
          <w:sz w:val="24"/>
          <w:szCs w:val="24"/>
          <w:lang w:val="en-US"/>
        </w:rPr>
      </w:pPr>
      <w:r>
        <w:rPr>
          <w:rFonts w:ascii="Arial" w:hAnsi="Arial"/>
          <w:b/>
          <w:sz w:val="24"/>
          <w:lang w:val="en-US"/>
        </w:rPr>
        <w:t>Agenda item:</w:t>
      </w:r>
      <w:r>
        <w:rPr>
          <w:rFonts w:ascii="Arial" w:hAnsi="Arial"/>
          <w:sz w:val="24"/>
          <w:lang w:val="en-US"/>
        </w:rPr>
        <w:tab/>
      </w:r>
      <w:r w:rsidR="000A22C5">
        <w:rPr>
          <w:rFonts w:ascii="Arial" w:hAnsi="Arial"/>
          <w:sz w:val="24"/>
          <w:lang w:val="en-US"/>
        </w:rPr>
        <w:t>7.4.9.2</w:t>
      </w:r>
    </w:p>
    <w:p w:rsidR="00377AA0" w:rsidRPr="00200753" w:rsidRDefault="00377AA0" w:rsidP="00377AA0">
      <w:pPr>
        <w:tabs>
          <w:tab w:val="left" w:pos="1985"/>
        </w:tabs>
        <w:ind w:left="1980" w:hanging="1980"/>
        <w:rPr>
          <w:rFonts w:ascii="Arial" w:hAnsi="Arial" w:cs="Arial"/>
          <w:sz w:val="24"/>
          <w:szCs w:val="24"/>
          <w:lang w:val="en-US"/>
        </w:rPr>
      </w:pPr>
      <w:r>
        <w:rPr>
          <w:rFonts w:ascii="Arial" w:hAnsi="Arial"/>
          <w:b/>
          <w:sz w:val="24"/>
          <w:lang w:val="en-US"/>
        </w:rPr>
        <w:t>Document for:</w:t>
      </w:r>
      <w:r>
        <w:rPr>
          <w:rFonts w:ascii="Arial" w:hAnsi="Arial"/>
          <w:sz w:val="24"/>
          <w:lang w:val="en-US"/>
        </w:rPr>
        <w:tab/>
        <w:t>Discussion</w:t>
      </w:r>
    </w:p>
    <w:p w:rsidR="00377AA0" w:rsidRDefault="00377AA0" w:rsidP="00377AA0">
      <w:pPr>
        <w:pStyle w:val="Heading1"/>
        <w:tabs>
          <w:tab w:val="clear" w:pos="432"/>
          <w:tab w:val="num" w:pos="522"/>
        </w:tabs>
        <w:ind w:left="522" w:hanging="522"/>
        <w:rPr>
          <w:lang w:val="en-US"/>
        </w:rPr>
      </w:pPr>
      <w:r>
        <w:rPr>
          <w:lang w:val="en-US"/>
        </w:rPr>
        <w:t>Introduction</w:t>
      </w:r>
    </w:p>
    <w:p w:rsidR="00221FFF" w:rsidRDefault="00066C25" w:rsidP="00221FFF">
      <w:pPr>
        <w:jc w:val="both"/>
        <w:rPr>
          <w:lang w:val="en-US"/>
        </w:rPr>
      </w:pPr>
      <w:r>
        <w:rPr>
          <w:lang w:val="en-US"/>
        </w:rPr>
        <w:t>Peak EIRP requirement of UE for outdoor (</w:t>
      </w:r>
      <w:proofErr w:type="spellStart"/>
      <w:r>
        <w:rPr>
          <w:lang w:val="en-US"/>
        </w:rPr>
        <w:t>UMa</w:t>
      </w:r>
      <w:proofErr w:type="spellEnd"/>
      <w:r>
        <w:rPr>
          <w:lang w:val="en-US"/>
        </w:rPr>
        <w:t xml:space="preserve"> and </w:t>
      </w:r>
      <w:proofErr w:type="spellStart"/>
      <w:r>
        <w:rPr>
          <w:lang w:val="en-US"/>
        </w:rPr>
        <w:t>UMi</w:t>
      </w:r>
      <w:proofErr w:type="spellEnd"/>
      <w:r>
        <w:rPr>
          <w:lang w:val="en-US"/>
        </w:rPr>
        <w:t>) and indoor (</w:t>
      </w:r>
      <w:proofErr w:type="spellStart"/>
      <w:r>
        <w:rPr>
          <w:lang w:val="en-US"/>
        </w:rPr>
        <w:t>InH</w:t>
      </w:r>
      <w:proofErr w:type="spellEnd"/>
      <w:r>
        <w:rPr>
          <w:lang w:val="en-US"/>
        </w:rPr>
        <w:t>) cases were presented in [1]. In short, the</w:t>
      </w:r>
      <w:r w:rsidR="00E36773">
        <w:rPr>
          <w:lang w:val="en-US"/>
        </w:rPr>
        <w:t xml:space="preserve"> message wa</w:t>
      </w:r>
      <w:r>
        <w:rPr>
          <w:lang w:val="en-US"/>
        </w:rPr>
        <w:t xml:space="preserve">s that 35dBm EIRP in boresight would be necessary to have a NLOS </w:t>
      </w:r>
      <w:r w:rsidR="00981756">
        <w:rPr>
          <w:lang w:val="en-US"/>
        </w:rPr>
        <w:t>channel range of 200m and 150m</w:t>
      </w:r>
      <w:r>
        <w:rPr>
          <w:lang w:val="en-US"/>
        </w:rPr>
        <w:t xml:space="preserve"> at 28GHz and 39GHz respectively. This, in-turn, with stated 5dB post-PA losses, result in P1dB of more than 22dBm of each PA in an architecture where each patch antenna is fed by 1 PA</w:t>
      </w:r>
      <w:r w:rsidR="003E6D03">
        <w:rPr>
          <w:lang w:val="en-US"/>
        </w:rPr>
        <w:t xml:space="preserve"> in each polarization. Although this </w:t>
      </w:r>
      <w:r w:rsidR="005F1E5D">
        <w:rPr>
          <w:lang w:val="en-US"/>
        </w:rPr>
        <w:t>high-power</w:t>
      </w:r>
      <w:r w:rsidR="003E6D03">
        <w:rPr>
          <w:lang w:val="en-US"/>
        </w:rPr>
        <w:t xml:space="preserve"> PA can be noted in literature </w:t>
      </w:r>
      <w:proofErr w:type="gramStart"/>
      <w:r w:rsidR="003E6D03">
        <w:rPr>
          <w:lang w:val="en-US"/>
        </w:rPr>
        <w:t>and also</w:t>
      </w:r>
      <w:proofErr w:type="gramEnd"/>
      <w:r w:rsidR="003E6D03">
        <w:rPr>
          <w:lang w:val="en-US"/>
        </w:rPr>
        <w:t xml:space="preserve"> product, it puts burden on other antenna module parameters of the UE. </w:t>
      </w:r>
      <w:proofErr w:type="spellStart"/>
      <w:r w:rsidR="003E6D03">
        <w:rPr>
          <w:lang w:val="en-US"/>
        </w:rPr>
        <w:t>mmW</w:t>
      </w:r>
      <w:proofErr w:type="spellEnd"/>
      <w:r w:rsidR="003E6D03">
        <w:rPr>
          <w:lang w:val="en-US"/>
        </w:rPr>
        <w:t xml:space="preserve"> NLOS is channel noise limited and an improvement of NF of </w:t>
      </w:r>
      <w:proofErr w:type="spellStart"/>
      <w:r w:rsidR="003E6D03">
        <w:rPr>
          <w:lang w:val="en-US"/>
        </w:rPr>
        <w:t>basestation</w:t>
      </w:r>
      <w:proofErr w:type="spellEnd"/>
      <w:r w:rsidR="003E6D03">
        <w:rPr>
          <w:lang w:val="en-US"/>
        </w:rPr>
        <w:t xml:space="preserve"> would improve UL channel quality significantly. From our studies it may be stated that </w:t>
      </w:r>
      <w:proofErr w:type="spellStart"/>
      <w:r w:rsidR="003E6D03">
        <w:rPr>
          <w:lang w:val="en-US"/>
        </w:rPr>
        <w:t>basestation</w:t>
      </w:r>
      <w:proofErr w:type="spellEnd"/>
      <w:r w:rsidR="005B2310">
        <w:rPr>
          <w:lang w:val="en-US"/>
        </w:rPr>
        <w:t xml:space="preserve"> NF at 28GHz can be limited to 6</w:t>
      </w:r>
      <w:r w:rsidR="003E6D03">
        <w:rPr>
          <w:lang w:val="en-US"/>
        </w:rPr>
        <w:t xml:space="preserve">dB and thus pressure on P1dB </w:t>
      </w:r>
      <w:proofErr w:type="spellStart"/>
      <w:r w:rsidR="003E6D03">
        <w:rPr>
          <w:lang w:val="en-US"/>
        </w:rPr>
        <w:t>Tx</w:t>
      </w:r>
      <w:proofErr w:type="spellEnd"/>
      <w:r w:rsidR="003E6D03">
        <w:rPr>
          <w:lang w:val="en-US"/>
        </w:rPr>
        <w:t xml:space="preserve"> chain may be relaxed. In this paper, the focus is to attempt to derive peak and a range of EIRP of UE that may be feasible to be demonstrated.</w:t>
      </w:r>
    </w:p>
    <w:p w:rsidR="005B2310" w:rsidRDefault="005B2310" w:rsidP="005B2310">
      <w:pPr>
        <w:pStyle w:val="Heading1"/>
        <w:rPr>
          <w:lang w:val="en-US"/>
        </w:rPr>
      </w:pPr>
      <w:r>
        <w:rPr>
          <w:lang w:val="en-US"/>
        </w:rPr>
        <w:t>Goal</w:t>
      </w:r>
    </w:p>
    <w:p w:rsidR="005B2310" w:rsidRDefault="005B2310" w:rsidP="005B2310">
      <w:pPr>
        <w:rPr>
          <w:lang w:val="en-US"/>
        </w:rPr>
      </w:pPr>
      <w:r>
        <w:rPr>
          <w:lang w:val="en-US"/>
        </w:rPr>
        <w:t>Following are the primary goals of this effort</w:t>
      </w:r>
      <w:r w:rsidR="00DF4051">
        <w:rPr>
          <w:lang w:val="en-US"/>
        </w:rPr>
        <w:t xml:space="preserve"> are to derive realistic values of following</w:t>
      </w:r>
      <w:r>
        <w:rPr>
          <w:lang w:val="en-US"/>
        </w:rPr>
        <w:t xml:space="preserve"> – </w:t>
      </w:r>
    </w:p>
    <w:p w:rsidR="00377AA0" w:rsidRDefault="00774F3C" w:rsidP="00377AA0">
      <w:pPr>
        <w:pStyle w:val="ListParagraph"/>
        <w:numPr>
          <w:ilvl w:val="0"/>
          <w:numId w:val="4"/>
        </w:numPr>
        <w:jc w:val="both"/>
        <w:rPr>
          <w:lang w:val="en-US"/>
        </w:rPr>
      </w:pPr>
      <w:r>
        <w:rPr>
          <w:lang w:val="en-US"/>
        </w:rPr>
        <w:t>Feasible peak EIRP of 1 antenna module.</w:t>
      </w:r>
    </w:p>
    <w:p w:rsidR="00774F3C" w:rsidRDefault="00774F3C" w:rsidP="00377AA0">
      <w:pPr>
        <w:pStyle w:val="ListParagraph"/>
        <w:numPr>
          <w:ilvl w:val="0"/>
          <w:numId w:val="4"/>
        </w:numPr>
        <w:jc w:val="both"/>
        <w:rPr>
          <w:lang w:val="en-US"/>
        </w:rPr>
      </w:pPr>
      <w:r>
        <w:rPr>
          <w:lang w:val="en-US"/>
        </w:rPr>
        <w:t>EIRP degradation of 1 antenna module with respect to scan angle.</w:t>
      </w:r>
    </w:p>
    <w:p w:rsidR="00377AA0" w:rsidRDefault="00302553" w:rsidP="00377AA0">
      <w:pPr>
        <w:pStyle w:val="Heading1"/>
        <w:rPr>
          <w:lang w:val="en-US"/>
        </w:rPr>
      </w:pPr>
      <w:r>
        <w:rPr>
          <w:lang w:val="en-US"/>
        </w:rPr>
        <w:t xml:space="preserve">Simulation, </w:t>
      </w:r>
      <w:r w:rsidR="007F237D">
        <w:rPr>
          <w:lang w:val="en-US"/>
        </w:rPr>
        <w:t>Assumptions</w:t>
      </w:r>
      <w:r w:rsidR="00810A57">
        <w:rPr>
          <w:lang w:val="en-US"/>
        </w:rPr>
        <w:t xml:space="preserve"> and Results</w:t>
      </w:r>
    </w:p>
    <w:p w:rsidR="007F237D" w:rsidRDefault="007F237D" w:rsidP="007F237D">
      <w:pPr>
        <w:rPr>
          <w:lang w:val="en-US"/>
        </w:rPr>
      </w:pPr>
      <w:r>
        <w:rPr>
          <w:lang w:val="en-US"/>
        </w:rPr>
        <w:t>The following are the working assumptions for deductions made in this paper –</w:t>
      </w:r>
    </w:p>
    <w:p w:rsidR="00E410C6" w:rsidRPr="00E410C6" w:rsidRDefault="00533A03" w:rsidP="00E410C6">
      <w:pPr>
        <w:pStyle w:val="ListParagraph"/>
        <w:numPr>
          <w:ilvl w:val="0"/>
          <w:numId w:val="5"/>
        </w:numPr>
        <w:rPr>
          <w:lang w:val="en-US"/>
        </w:rPr>
      </w:pPr>
      <w:r>
        <w:rPr>
          <w:lang w:val="en-US"/>
        </w:rPr>
        <w:t xml:space="preserve">Same as that stated in </w:t>
      </w:r>
      <w:r w:rsidRPr="00533A03">
        <w:rPr>
          <w:lang w:val="en-US"/>
        </w:rPr>
        <w:t>R4-1800944 unless stated otherwise in following enumeration.</w:t>
      </w:r>
    </w:p>
    <w:p w:rsidR="00CD6D13" w:rsidRDefault="00BC67A4" w:rsidP="00CD6D13">
      <w:pPr>
        <w:pStyle w:val="ListParagraph"/>
        <w:numPr>
          <w:ilvl w:val="0"/>
          <w:numId w:val="5"/>
        </w:numPr>
        <w:rPr>
          <w:lang w:val="en-US"/>
        </w:rPr>
      </w:pPr>
      <w:r>
        <w:rPr>
          <w:lang w:val="en-US"/>
        </w:rPr>
        <w:t xml:space="preserve">Noise Figure of </w:t>
      </w:r>
      <w:proofErr w:type="spellStart"/>
      <w:r>
        <w:rPr>
          <w:lang w:val="en-US"/>
        </w:rPr>
        <w:t>basestation</w:t>
      </w:r>
      <w:proofErr w:type="spellEnd"/>
      <w:r>
        <w:rPr>
          <w:lang w:val="en-US"/>
        </w:rPr>
        <w:t xml:space="preserve"> is </w:t>
      </w:r>
      <w:r w:rsidRPr="00791C41">
        <w:rPr>
          <w:lang w:val="en-US"/>
        </w:rPr>
        <w:t>6</w:t>
      </w:r>
      <w:r w:rsidR="00CD6D13">
        <w:rPr>
          <w:lang w:val="en-US"/>
        </w:rPr>
        <w:t>dB.</w:t>
      </w:r>
    </w:p>
    <w:p w:rsidR="00C66BE4" w:rsidRDefault="00C66BE4" w:rsidP="00CD6D13">
      <w:pPr>
        <w:pStyle w:val="ListParagraph"/>
        <w:numPr>
          <w:ilvl w:val="0"/>
          <w:numId w:val="5"/>
        </w:numPr>
        <w:rPr>
          <w:lang w:val="en-US"/>
        </w:rPr>
      </w:pPr>
      <w:r>
        <w:rPr>
          <w:lang w:val="en-US"/>
        </w:rPr>
        <w:t>Antenna array gain of UE would be stated for boresight and high scan angles</w:t>
      </w:r>
      <w:r w:rsidR="007E22CA">
        <w:rPr>
          <w:lang w:val="en-US"/>
        </w:rPr>
        <w:t>.</w:t>
      </w:r>
    </w:p>
    <w:p w:rsidR="00301149" w:rsidRDefault="00C267A4" w:rsidP="00D40AA1">
      <w:pPr>
        <w:jc w:val="both"/>
        <w:rPr>
          <w:lang w:val="en-US"/>
        </w:rPr>
      </w:pPr>
      <w:r>
        <w:rPr>
          <w:lang w:val="en-US"/>
        </w:rPr>
        <w:t xml:space="preserve">Figure 1 shows radiation pattern of single patch in 28GHz spot frequency. The design has been done with commercially available high frequency laminate with low loss tangent. </w:t>
      </w:r>
      <w:r w:rsidR="00D40AA1">
        <w:rPr>
          <w:lang w:val="en-US"/>
        </w:rPr>
        <w:t xml:space="preserve">The gain of the element is calibrated at 3mm from feed point. </w:t>
      </w:r>
      <w:r w:rsidR="001A2FE5">
        <w:rPr>
          <w:lang w:val="en-US"/>
        </w:rPr>
        <w:t xml:space="preserve">From the plots it may be inferred that </w:t>
      </w:r>
      <w:r w:rsidR="00B3464E">
        <w:rPr>
          <w:lang w:val="en-US"/>
        </w:rPr>
        <w:t xml:space="preserve">while gain </w:t>
      </w:r>
      <w:r w:rsidR="001A2FE5">
        <w:rPr>
          <w:lang w:val="en-US"/>
        </w:rPr>
        <w:t xml:space="preserve">in boresight </w:t>
      </w:r>
      <w:r w:rsidR="00B3464E">
        <w:rPr>
          <w:lang w:val="en-US"/>
        </w:rPr>
        <w:t xml:space="preserve">can be as high as 6dB, it rolls-off to 3dB at +/- 50deg </w:t>
      </w:r>
      <w:r w:rsidR="00547577">
        <w:rPr>
          <w:lang w:val="en-US"/>
        </w:rPr>
        <w:t>elevation</w:t>
      </w:r>
      <w:r w:rsidR="00B3464E">
        <w:rPr>
          <w:lang w:val="en-US"/>
        </w:rPr>
        <w:t xml:space="preserve"> angles. </w:t>
      </w:r>
      <w:r w:rsidR="0055419C">
        <w:rPr>
          <w:lang w:val="en-US"/>
        </w:rPr>
        <w:t xml:space="preserve">At 39GHz, although </w:t>
      </w:r>
      <w:r w:rsidR="005E1178">
        <w:rPr>
          <w:lang w:val="en-US"/>
        </w:rPr>
        <w:t xml:space="preserve">5.7dB gain is achievable in boresight the </w:t>
      </w:r>
      <w:proofErr w:type="spellStart"/>
      <w:r w:rsidR="005E1178">
        <w:rPr>
          <w:lang w:val="en-US"/>
        </w:rPr>
        <w:t>beamwidth</w:t>
      </w:r>
      <w:proofErr w:type="spellEnd"/>
      <w:r w:rsidR="005E1178">
        <w:rPr>
          <w:lang w:val="en-US"/>
        </w:rPr>
        <w:t xml:space="preserve">, and effectively field of view, reduces to +/-25 deg. </w:t>
      </w:r>
      <w:r w:rsidR="00301149">
        <w:rPr>
          <w:lang w:val="en-US"/>
        </w:rPr>
        <w:t xml:space="preserve">This is shown in figure 2. </w:t>
      </w:r>
      <w:r w:rsidR="005E1178">
        <w:rPr>
          <w:lang w:val="en-US"/>
        </w:rPr>
        <w:t>The author ackno</w:t>
      </w:r>
      <w:r w:rsidR="00301149">
        <w:rPr>
          <w:lang w:val="en-US"/>
        </w:rPr>
        <w:t xml:space="preserve">wledges that the </w:t>
      </w:r>
      <w:proofErr w:type="spellStart"/>
      <w:r w:rsidR="00301149">
        <w:rPr>
          <w:lang w:val="en-US"/>
        </w:rPr>
        <w:t>beamwidth</w:t>
      </w:r>
      <w:proofErr w:type="spellEnd"/>
      <w:r w:rsidR="00301149">
        <w:rPr>
          <w:lang w:val="en-US"/>
        </w:rPr>
        <w:t xml:space="preserve"> at 39GHz may be further optimized but it would be at the expense of the same at 28GHz. For this study, it is assumed the shown figures are baseline assumptions of antenna pattern </w:t>
      </w:r>
      <w:r w:rsidR="00301149">
        <w:rPr>
          <w:lang w:val="en-US"/>
        </w:rPr>
        <w:lastRenderedPageBreak/>
        <w:t>in this paper.</w:t>
      </w:r>
      <w:r w:rsidR="00E40A72">
        <w:rPr>
          <w:lang w:val="en-US"/>
        </w:rPr>
        <w:t xml:space="preserve"> </w:t>
      </w:r>
      <w:r w:rsidR="00301149">
        <w:rPr>
          <w:lang w:val="en-US"/>
        </w:rPr>
        <w:t xml:space="preserve">This patch has been used in a 2x2 rectangular and 1x4 linear array configurations to evaluate effective EIRP in boresight and in high scan angles in </w:t>
      </w:r>
      <w:proofErr w:type="spellStart"/>
      <w:r w:rsidR="00301149">
        <w:rPr>
          <w:lang w:val="en-US"/>
        </w:rPr>
        <w:t>Tx</w:t>
      </w:r>
      <w:proofErr w:type="spellEnd"/>
      <w:r w:rsidR="00301149">
        <w:rPr>
          <w:lang w:val="en-US"/>
        </w:rPr>
        <w:t xml:space="preserve"> mode of UE.</w:t>
      </w:r>
    </w:p>
    <w:p w:rsidR="00C267A4" w:rsidRDefault="006F67D4" w:rsidP="00D40AA1">
      <w:pPr>
        <w:jc w:val="center"/>
        <w:rPr>
          <w:lang w:val="en-US"/>
        </w:rPr>
      </w:pPr>
      <w:r>
        <w:rPr>
          <w:noProof/>
        </w:rPr>
        <w:drawing>
          <wp:inline distT="0" distB="0" distL="0" distR="0" wp14:anchorId="5A57C9D6" wp14:editId="5AE8CD88">
            <wp:extent cx="4114800" cy="2450679"/>
            <wp:effectExtent l="19050" t="19050" r="19050" b="260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14800" cy="2450679"/>
                    </a:xfrm>
                    <a:prstGeom prst="rect">
                      <a:avLst/>
                    </a:prstGeom>
                    <a:ln>
                      <a:solidFill>
                        <a:schemeClr val="tx1"/>
                      </a:solidFill>
                    </a:ln>
                  </pic:spPr>
                </pic:pic>
              </a:graphicData>
            </a:graphic>
          </wp:inline>
        </w:drawing>
      </w:r>
    </w:p>
    <w:p w:rsidR="00C267A4" w:rsidRDefault="00C267A4" w:rsidP="00C267A4">
      <w:pPr>
        <w:jc w:val="center"/>
        <w:rPr>
          <w:lang w:val="en-US"/>
        </w:rPr>
      </w:pPr>
      <w:r>
        <w:rPr>
          <w:lang w:val="en-US"/>
        </w:rPr>
        <w:t xml:space="preserve">Figure </w:t>
      </w:r>
      <w:r w:rsidR="003E1A2B">
        <w:rPr>
          <w:lang w:val="en-US"/>
        </w:rPr>
        <w:t>1: R</w:t>
      </w:r>
      <w:r>
        <w:rPr>
          <w:lang w:val="en-US"/>
        </w:rPr>
        <w:t>adiation pattern of 1 patch</w:t>
      </w:r>
      <w:r w:rsidR="001E577E">
        <w:rPr>
          <w:lang w:val="en-US"/>
        </w:rPr>
        <w:t xml:space="preserve"> at 28GHz</w:t>
      </w:r>
      <w:r w:rsidR="009F6A06">
        <w:rPr>
          <w:lang w:val="en-US"/>
        </w:rPr>
        <w:t xml:space="preserve"> while scanning in theta</w:t>
      </w:r>
      <w:r w:rsidR="00A01FAE">
        <w:rPr>
          <w:lang w:val="en-US"/>
        </w:rPr>
        <w:t xml:space="preserve"> direction. The stacked traces show the sam</w:t>
      </w:r>
      <w:r w:rsidR="009F6A06">
        <w:rPr>
          <w:lang w:val="en-US"/>
        </w:rPr>
        <w:t>e at various phi</w:t>
      </w:r>
      <w:r w:rsidR="00E33AC2">
        <w:rPr>
          <w:lang w:val="en-US"/>
        </w:rPr>
        <w:t xml:space="preserve"> (-180deg to 180deg)</w:t>
      </w:r>
    </w:p>
    <w:p w:rsidR="00C267A4" w:rsidRDefault="001E577E" w:rsidP="002E0666">
      <w:pPr>
        <w:jc w:val="center"/>
        <w:rPr>
          <w:lang w:val="en-US"/>
        </w:rPr>
      </w:pPr>
      <w:r>
        <w:rPr>
          <w:noProof/>
        </w:rPr>
        <w:drawing>
          <wp:inline distT="0" distB="0" distL="0" distR="0" wp14:anchorId="672E6BC9" wp14:editId="7B95D77E">
            <wp:extent cx="4114800" cy="2567317"/>
            <wp:effectExtent l="19050" t="19050" r="19050" b="2349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14800" cy="2567317"/>
                    </a:xfrm>
                    <a:prstGeom prst="rect">
                      <a:avLst/>
                    </a:prstGeom>
                    <a:ln>
                      <a:solidFill>
                        <a:schemeClr val="tx1"/>
                      </a:solidFill>
                    </a:ln>
                  </pic:spPr>
                </pic:pic>
              </a:graphicData>
            </a:graphic>
          </wp:inline>
        </w:drawing>
      </w:r>
    </w:p>
    <w:p w:rsidR="001E577E" w:rsidRDefault="001E577E" w:rsidP="001E577E">
      <w:pPr>
        <w:jc w:val="center"/>
        <w:rPr>
          <w:lang w:val="en-US"/>
        </w:rPr>
      </w:pPr>
      <w:r>
        <w:rPr>
          <w:lang w:val="en-US"/>
        </w:rPr>
        <w:t xml:space="preserve">Figure </w:t>
      </w:r>
      <w:r w:rsidR="0024348B">
        <w:rPr>
          <w:lang w:val="en-US"/>
        </w:rPr>
        <w:t>2</w:t>
      </w:r>
      <w:r w:rsidR="003E1A2B">
        <w:rPr>
          <w:lang w:val="en-US"/>
        </w:rPr>
        <w:t>: R</w:t>
      </w:r>
      <w:r>
        <w:rPr>
          <w:lang w:val="en-US"/>
        </w:rPr>
        <w:t>adiation pattern of 1 patch at 39G</w:t>
      </w:r>
      <w:r w:rsidR="00FE02E1">
        <w:rPr>
          <w:lang w:val="en-US"/>
        </w:rPr>
        <w:t xml:space="preserve">Hz while scanning in </w:t>
      </w:r>
      <w:r>
        <w:rPr>
          <w:lang w:val="en-US"/>
        </w:rPr>
        <w:t xml:space="preserve">theta direction. The stacked traces show the same at various </w:t>
      </w:r>
      <w:r w:rsidR="00FE02E1">
        <w:rPr>
          <w:lang w:val="en-US"/>
        </w:rPr>
        <w:t>phi</w:t>
      </w:r>
    </w:p>
    <w:p w:rsidR="0024348B" w:rsidRDefault="00C208D3" w:rsidP="00C208D3">
      <w:pPr>
        <w:jc w:val="both"/>
        <w:rPr>
          <w:lang w:val="en-US"/>
        </w:rPr>
      </w:pPr>
      <w:r>
        <w:rPr>
          <w:lang w:val="en-US"/>
        </w:rPr>
        <w:t xml:space="preserve">Figure 3 and 4 show beam </w:t>
      </w:r>
      <w:r w:rsidR="00971806">
        <w:rPr>
          <w:lang w:val="en-US"/>
        </w:rPr>
        <w:t>patterns</w:t>
      </w:r>
      <w:r>
        <w:rPr>
          <w:lang w:val="en-US"/>
        </w:rPr>
        <w:t xml:space="preserve"> of 2x2 and 1x4 array in boresight and high scan angles</w:t>
      </w:r>
      <w:r w:rsidR="00971806">
        <w:rPr>
          <w:lang w:val="en-US"/>
        </w:rPr>
        <w:t xml:space="preserve">. Figure 3a shows a peak gain of 10.5dB in boresight and gain of 9.5dB at 20deg elevation angle. </w:t>
      </w:r>
      <w:r w:rsidR="00EC0AA4">
        <w:rPr>
          <w:lang w:val="en-US"/>
        </w:rPr>
        <w:t>In figure 3b, it is shown that, w</w:t>
      </w:r>
      <w:r w:rsidR="00971806">
        <w:rPr>
          <w:lang w:val="en-US"/>
        </w:rPr>
        <w:t>hile scanning a field-of-view of +/- 45deg with highest scan angle</w:t>
      </w:r>
      <w:r w:rsidR="00EC0AA4">
        <w:rPr>
          <w:lang w:val="en-US"/>
        </w:rPr>
        <w:t>, the</w:t>
      </w:r>
      <w:r w:rsidR="00971806">
        <w:rPr>
          <w:lang w:val="en-US"/>
        </w:rPr>
        <w:t xml:space="preserve"> array gain drops to 9dB at 45deg. This array </w:t>
      </w:r>
      <w:r w:rsidR="008D6F7F">
        <w:rPr>
          <w:lang w:val="en-US"/>
        </w:rPr>
        <w:t>results</w:t>
      </w:r>
      <w:r w:rsidR="00971806">
        <w:rPr>
          <w:lang w:val="en-US"/>
        </w:rPr>
        <w:t xml:space="preserve"> </w:t>
      </w:r>
      <w:r w:rsidR="008D6F7F">
        <w:rPr>
          <w:lang w:val="en-US"/>
        </w:rPr>
        <w:t>in</w:t>
      </w:r>
      <w:r w:rsidR="00971806">
        <w:rPr>
          <w:lang w:val="en-US"/>
        </w:rPr>
        <w:t xml:space="preserve"> 1.5dB gain variation (without tapering) from bore</w:t>
      </w:r>
      <w:r w:rsidR="008D6F7F">
        <w:rPr>
          <w:lang w:val="en-US"/>
        </w:rPr>
        <w:t>sight to maximum scan angle of 35deg in a field of view of +/- 45</w:t>
      </w:r>
      <w:r w:rsidR="003426E5">
        <w:rPr>
          <w:lang w:val="en-US"/>
        </w:rPr>
        <w:t xml:space="preserve"> degree. This variation would be consistent in both elevation and azimuth planes because the beam is symmetrical in both directions. </w:t>
      </w:r>
      <w:r w:rsidR="00BD018A">
        <w:rPr>
          <w:lang w:val="en-US"/>
        </w:rPr>
        <w:t>Further increase in scan angle and field of view would result in degradation of array gain. For this discussion, the scope of field of view and scan angle are assumed to be limited to above numbers.</w:t>
      </w:r>
    </w:p>
    <w:p w:rsidR="001E577E" w:rsidRDefault="009906E1" w:rsidP="0024348B">
      <w:pPr>
        <w:jc w:val="center"/>
        <w:rPr>
          <w:lang w:val="en-US"/>
        </w:rPr>
      </w:pPr>
      <w:r>
        <w:rPr>
          <w:noProof/>
        </w:rPr>
        <w:lastRenderedPageBreak/>
        <w:drawing>
          <wp:inline distT="0" distB="0" distL="0" distR="0" wp14:anchorId="305E9649" wp14:editId="2C8D03B4">
            <wp:extent cx="5410200" cy="2392680"/>
            <wp:effectExtent l="19050" t="19050" r="19050" b="266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9104" r="11536" b="24418"/>
                    <a:stretch/>
                  </pic:blipFill>
                  <pic:spPr bwMode="auto">
                    <a:xfrm>
                      <a:off x="0" y="0"/>
                      <a:ext cx="5410200" cy="2392680"/>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rsidR="0024348B" w:rsidRDefault="0024348B" w:rsidP="0024348B">
      <w:pPr>
        <w:jc w:val="center"/>
        <w:rPr>
          <w:lang w:val="en-US"/>
        </w:rPr>
      </w:pPr>
      <w:r>
        <w:rPr>
          <w:lang w:val="en-US"/>
        </w:rPr>
        <w:t>Figure 3a: Radiation pattern of 2x2 patch antenna array in boresight</w:t>
      </w:r>
    </w:p>
    <w:p w:rsidR="0024348B" w:rsidRDefault="008B2587" w:rsidP="0024348B">
      <w:pPr>
        <w:jc w:val="center"/>
        <w:rPr>
          <w:lang w:val="en-US"/>
        </w:rPr>
      </w:pPr>
      <w:r>
        <w:rPr>
          <w:noProof/>
        </w:rPr>
        <w:drawing>
          <wp:inline distT="0" distB="0" distL="0" distR="0" wp14:anchorId="0CB73F2B" wp14:editId="2DA665A3">
            <wp:extent cx="5387340" cy="2354580"/>
            <wp:effectExtent l="19050" t="19050" r="22860" b="266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t="9738" r="11910" b="24841"/>
                    <a:stretch/>
                  </pic:blipFill>
                  <pic:spPr bwMode="auto">
                    <a:xfrm>
                      <a:off x="0" y="0"/>
                      <a:ext cx="5387340" cy="2354580"/>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rsidR="003B1CC9" w:rsidRDefault="003B1CC9" w:rsidP="003B1CC9">
      <w:pPr>
        <w:jc w:val="center"/>
        <w:rPr>
          <w:lang w:val="en-US"/>
        </w:rPr>
      </w:pPr>
      <w:r>
        <w:rPr>
          <w:lang w:val="en-US"/>
        </w:rPr>
        <w:t>Figure 3</w:t>
      </w:r>
      <w:r w:rsidR="008C5BE0">
        <w:rPr>
          <w:lang w:val="en-US"/>
        </w:rPr>
        <w:t>b</w:t>
      </w:r>
      <w:r>
        <w:rPr>
          <w:lang w:val="en-US"/>
        </w:rPr>
        <w:t>: Radiation pattern of 2x2 patch antenna array in 35deg scan angle</w:t>
      </w:r>
      <w:r w:rsidR="00F21A86">
        <w:rPr>
          <w:lang w:val="en-US"/>
        </w:rPr>
        <w:t xml:space="preserve"> (while covering 45deg field of view)</w:t>
      </w:r>
      <w:r>
        <w:rPr>
          <w:lang w:val="en-US"/>
        </w:rPr>
        <w:t xml:space="preserve"> in elevation plane</w:t>
      </w:r>
    </w:p>
    <w:p w:rsidR="00BD738F" w:rsidRPr="00BD738F" w:rsidRDefault="00BD738F" w:rsidP="00EC0AA4">
      <w:pPr>
        <w:jc w:val="both"/>
        <w:rPr>
          <w:b/>
          <w:lang w:val="en-US"/>
        </w:rPr>
      </w:pPr>
      <w:r w:rsidRPr="00BD738F">
        <w:rPr>
          <w:b/>
          <w:lang w:val="en-US"/>
        </w:rPr>
        <w:t>Observation 1:</w:t>
      </w:r>
      <w:r>
        <w:rPr>
          <w:b/>
          <w:lang w:val="en-US"/>
        </w:rPr>
        <w:t xml:space="preserve"> Gain of a 2x2 array has a range of 1.5dB with peak</w:t>
      </w:r>
      <w:r w:rsidR="001E031F">
        <w:rPr>
          <w:b/>
          <w:lang w:val="en-US"/>
        </w:rPr>
        <w:t xml:space="preserve"> gain in boresight being 10.5dB</w:t>
      </w:r>
    </w:p>
    <w:p w:rsidR="00EC0AA4" w:rsidRDefault="00EC0AA4" w:rsidP="00EC0AA4">
      <w:pPr>
        <w:jc w:val="both"/>
        <w:rPr>
          <w:lang w:val="en-US"/>
        </w:rPr>
      </w:pPr>
      <w:r>
        <w:rPr>
          <w:lang w:val="en-US"/>
        </w:rPr>
        <w:t xml:space="preserve">Figure </w:t>
      </w:r>
      <w:r w:rsidR="00A934B0">
        <w:rPr>
          <w:lang w:val="en-US"/>
        </w:rPr>
        <w:t xml:space="preserve">4a shows radiation pattern of 1x4 array in boresight. This asymmetric beam has peak array </w:t>
      </w:r>
      <w:r w:rsidR="00FF6098">
        <w:rPr>
          <w:lang w:val="en-US"/>
        </w:rPr>
        <w:t xml:space="preserve">gain </w:t>
      </w:r>
      <w:r w:rsidR="00A934B0">
        <w:rPr>
          <w:lang w:val="en-US"/>
        </w:rPr>
        <w:t>of 10dB in boresight while it drops to 9dB</w:t>
      </w:r>
      <w:r w:rsidR="00B27D1C">
        <w:rPr>
          <w:lang w:val="en-US"/>
        </w:rPr>
        <w:t xml:space="preserve"> at </w:t>
      </w:r>
      <w:r w:rsidR="000C2273">
        <w:rPr>
          <w:lang w:val="en-US"/>
        </w:rPr>
        <w:t xml:space="preserve">+/- </w:t>
      </w:r>
      <w:r w:rsidR="000B158E">
        <w:rPr>
          <w:lang w:val="en-US"/>
        </w:rPr>
        <w:t>45deg</w:t>
      </w:r>
      <w:r w:rsidR="0004343C">
        <w:rPr>
          <w:lang w:val="en-US"/>
        </w:rPr>
        <w:t xml:space="preserve"> in </w:t>
      </w:r>
      <w:r w:rsidR="00030E4B">
        <w:rPr>
          <w:lang w:val="en-US"/>
        </w:rPr>
        <w:t>theta</w:t>
      </w:r>
      <w:r w:rsidR="0004343C">
        <w:rPr>
          <w:lang w:val="en-US"/>
        </w:rPr>
        <w:t xml:space="preserve"> plane with </w:t>
      </w:r>
      <w:r w:rsidR="002760A4">
        <w:rPr>
          <w:lang w:val="en-US"/>
        </w:rPr>
        <w:t>phi</w:t>
      </w:r>
      <w:r w:rsidR="0004343C">
        <w:rPr>
          <w:lang w:val="en-US"/>
        </w:rPr>
        <w:t xml:space="preserve"> unchanged. </w:t>
      </w:r>
      <w:r w:rsidR="00B96776">
        <w:rPr>
          <w:lang w:val="en-US"/>
        </w:rPr>
        <w:t xml:space="preserve">The </w:t>
      </w:r>
      <w:proofErr w:type="spellStart"/>
      <w:r w:rsidR="00B96776">
        <w:rPr>
          <w:lang w:val="en-US"/>
        </w:rPr>
        <w:t>beamwidth</w:t>
      </w:r>
      <w:proofErr w:type="spellEnd"/>
      <w:r w:rsidR="00B96776">
        <w:rPr>
          <w:lang w:val="en-US"/>
        </w:rPr>
        <w:t xml:space="preserve"> of the array in elevation and azimuth planes are +/-45 </w:t>
      </w:r>
      <w:proofErr w:type="spellStart"/>
      <w:r w:rsidR="00B96776">
        <w:rPr>
          <w:lang w:val="en-US"/>
        </w:rPr>
        <w:t>deg</w:t>
      </w:r>
      <w:proofErr w:type="spellEnd"/>
      <w:r w:rsidR="00B96776">
        <w:rPr>
          <w:lang w:val="en-US"/>
        </w:rPr>
        <w:t xml:space="preserve"> and +/5 </w:t>
      </w:r>
      <w:proofErr w:type="spellStart"/>
      <w:r w:rsidR="00B96776">
        <w:rPr>
          <w:lang w:val="en-US"/>
        </w:rPr>
        <w:t>deg</w:t>
      </w:r>
      <w:proofErr w:type="spellEnd"/>
      <w:r w:rsidR="00B96776">
        <w:rPr>
          <w:lang w:val="en-US"/>
        </w:rPr>
        <w:t xml:space="preserve"> respectively</w:t>
      </w:r>
      <w:r w:rsidR="0004343C">
        <w:rPr>
          <w:lang w:val="en-US"/>
        </w:rPr>
        <w:t xml:space="preserve">. </w:t>
      </w:r>
      <w:r w:rsidR="00633EF9">
        <w:rPr>
          <w:lang w:val="en-US"/>
        </w:rPr>
        <w:t xml:space="preserve">In figure 4b, 9dB array gain is seen </w:t>
      </w:r>
      <w:r w:rsidR="00D64994">
        <w:rPr>
          <w:lang w:val="en-US"/>
        </w:rPr>
        <w:t>at 35deg scan angle in azimuth plane</w:t>
      </w:r>
      <w:r w:rsidR="00AE3D99">
        <w:rPr>
          <w:lang w:val="en-US"/>
        </w:rPr>
        <w:t>.</w:t>
      </w:r>
      <w:r w:rsidR="00D64994">
        <w:rPr>
          <w:lang w:val="en-US"/>
        </w:rPr>
        <w:t xml:space="preserve"> </w:t>
      </w:r>
      <w:proofErr w:type="spellStart"/>
      <w:r w:rsidR="00D64994">
        <w:rPr>
          <w:lang w:val="en-US"/>
        </w:rPr>
        <w:t>Beamwidth</w:t>
      </w:r>
      <w:proofErr w:type="spellEnd"/>
      <w:r w:rsidR="00D64994">
        <w:rPr>
          <w:lang w:val="en-US"/>
        </w:rPr>
        <w:t xml:space="preserve"> </w:t>
      </w:r>
      <w:r w:rsidR="00EB029C">
        <w:rPr>
          <w:lang w:val="en-US"/>
        </w:rPr>
        <w:t xml:space="preserve">of the array changes </w:t>
      </w:r>
      <w:r w:rsidR="00D64994">
        <w:rPr>
          <w:lang w:val="en-US"/>
        </w:rPr>
        <w:t xml:space="preserve">to </w:t>
      </w:r>
      <w:r w:rsidR="00250431">
        <w:rPr>
          <w:lang w:val="en-US"/>
        </w:rPr>
        <w:t>+/- 10</w:t>
      </w:r>
      <w:r w:rsidR="002616EA">
        <w:rPr>
          <w:lang w:val="en-US"/>
        </w:rPr>
        <w:t xml:space="preserve"> </w:t>
      </w:r>
      <w:proofErr w:type="spellStart"/>
      <w:r w:rsidR="002616EA">
        <w:rPr>
          <w:lang w:val="en-US"/>
        </w:rPr>
        <w:t>deg</w:t>
      </w:r>
      <w:proofErr w:type="spellEnd"/>
      <w:r w:rsidR="002616EA">
        <w:rPr>
          <w:lang w:val="en-US"/>
        </w:rPr>
        <w:t xml:space="preserve"> and </w:t>
      </w:r>
      <w:r w:rsidR="00EB029C">
        <w:rPr>
          <w:lang w:val="en-US"/>
        </w:rPr>
        <w:t>+/-40</w:t>
      </w:r>
      <w:r w:rsidR="00D64994">
        <w:rPr>
          <w:lang w:val="en-US"/>
        </w:rPr>
        <w:t xml:space="preserve"> </w:t>
      </w:r>
      <w:proofErr w:type="spellStart"/>
      <w:r w:rsidR="00D64994">
        <w:rPr>
          <w:lang w:val="en-US"/>
        </w:rPr>
        <w:t>deg</w:t>
      </w:r>
      <w:proofErr w:type="spellEnd"/>
      <w:r w:rsidR="00D64994">
        <w:rPr>
          <w:lang w:val="en-US"/>
        </w:rPr>
        <w:t xml:space="preserve"> in azimuth and elevation planes respectively.</w:t>
      </w:r>
      <w:r w:rsidR="006667AF">
        <w:rPr>
          <w:lang w:val="en-US"/>
        </w:rPr>
        <w:t xml:space="preserve"> </w:t>
      </w:r>
      <w:r w:rsidR="00542371">
        <w:rPr>
          <w:lang w:val="en-US"/>
        </w:rPr>
        <w:t xml:space="preserve">The above translate </w:t>
      </w:r>
      <w:r w:rsidR="00D67216">
        <w:rPr>
          <w:lang w:val="en-US"/>
        </w:rPr>
        <w:t>to, maximum</w:t>
      </w:r>
      <w:r w:rsidR="00542371">
        <w:rPr>
          <w:lang w:val="en-US"/>
        </w:rPr>
        <w:t xml:space="preserve"> field of view of +/- 40 </w:t>
      </w:r>
      <w:proofErr w:type="spellStart"/>
      <w:proofErr w:type="gramStart"/>
      <w:r w:rsidR="00542371">
        <w:rPr>
          <w:lang w:val="en-US"/>
        </w:rPr>
        <w:t>deg</w:t>
      </w:r>
      <w:proofErr w:type="spellEnd"/>
      <w:r w:rsidR="00542371">
        <w:rPr>
          <w:lang w:val="en-US"/>
        </w:rPr>
        <w:t xml:space="preserve">  and</w:t>
      </w:r>
      <w:proofErr w:type="gramEnd"/>
      <w:r w:rsidR="00542371">
        <w:rPr>
          <w:lang w:val="en-US"/>
        </w:rPr>
        <w:t xml:space="preserve"> +/- 45 </w:t>
      </w:r>
      <w:proofErr w:type="spellStart"/>
      <w:r w:rsidR="00542371">
        <w:rPr>
          <w:lang w:val="en-US"/>
        </w:rPr>
        <w:t>deg</w:t>
      </w:r>
      <w:proofErr w:type="spellEnd"/>
      <w:r w:rsidR="00542371">
        <w:rPr>
          <w:lang w:val="en-US"/>
        </w:rPr>
        <w:t xml:space="preserve"> in azimuth and elevation angles. </w:t>
      </w:r>
      <w:r w:rsidR="00D67216">
        <w:rPr>
          <w:lang w:val="en-US"/>
        </w:rPr>
        <w:t>Like</w:t>
      </w:r>
      <w:r w:rsidR="00280147">
        <w:rPr>
          <w:lang w:val="en-US"/>
        </w:rPr>
        <w:t xml:space="preserve"> 2x2 array, further increase of scan angle in a larger field of view would result in greater variation of antenna array gain.</w:t>
      </w:r>
    </w:p>
    <w:p w:rsidR="00EC0AA4" w:rsidRDefault="00EC0AA4" w:rsidP="003B1CC9">
      <w:pPr>
        <w:jc w:val="center"/>
        <w:rPr>
          <w:lang w:val="en-US"/>
        </w:rPr>
      </w:pPr>
    </w:p>
    <w:p w:rsidR="00A96288" w:rsidRDefault="00FD3F58" w:rsidP="003B1CC9">
      <w:pPr>
        <w:jc w:val="center"/>
        <w:rPr>
          <w:lang w:val="en-US"/>
        </w:rPr>
      </w:pPr>
      <w:r>
        <w:rPr>
          <w:noProof/>
        </w:rPr>
        <w:lastRenderedPageBreak/>
        <w:drawing>
          <wp:inline distT="0" distB="0" distL="0" distR="0" wp14:anchorId="6DCBB906" wp14:editId="56A41E00">
            <wp:extent cx="5135880" cy="2385060"/>
            <wp:effectExtent l="19050" t="19050" r="26670" b="152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0397" r="16021" b="18854"/>
                    <a:stretch/>
                  </pic:blipFill>
                  <pic:spPr bwMode="auto">
                    <a:xfrm>
                      <a:off x="0" y="0"/>
                      <a:ext cx="5135880" cy="2385060"/>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rsidR="008C5BE0" w:rsidRDefault="008C5BE0" w:rsidP="008C5BE0">
      <w:pPr>
        <w:jc w:val="center"/>
        <w:rPr>
          <w:lang w:val="en-US"/>
        </w:rPr>
      </w:pPr>
      <w:r>
        <w:rPr>
          <w:lang w:val="en-US"/>
        </w:rPr>
        <w:t>Figure 4a: Radiation pattern of 4x1 patch antenna array in boresight</w:t>
      </w:r>
    </w:p>
    <w:p w:rsidR="00C267A4" w:rsidRDefault="006667AF" w:rsidP="00A934B0">
      <w:pPr>
        <w:jc w:val="center"/>
        <w:rPr>
          <w:lang w:val="en-US"/>
        </w:rPr>
      </w:pPr>
      <w:r>
        <w:rPr>
          <w:noProof/>
        </w:rPr>
        <w:drawing>
          <wp:inline distT="0" distB="0" distL="0" distR="0" wp14:anchorId="138B5385" wp14:editId="33F6807D">
            <wp:extent cx="5204460" cy="2636520"/>
            <wp:effectExtent l="19050" t="19050" r="15240" b="1143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8589" r="14899" b="13204"/>
                    <a:stretch/>
                  </pic:blipFill>
                  <pic:spPr bwMode="auto">
                    <a:xfrm>
                      <a:off x="0" y="0"/>
                      <a:ext cx="5204460" cy="2636520"/>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rsidR="00973C73" w:rsidRDefault="00973C73" w:rsidP="00973C73">
      <w:pPr>
        <w:jc w:val="center"/>
        <w:rPr>
          <w:lang w:val="en-US"/>
        </w:rPr>
      </w:pPr>
      <w:r>
        <w:rPr>
          <w:lang w:val="en-US"/>
        </w:rPr>
        <w:t>Figure 4</w:t>
      </w:r>
      <w:r w:rsidR="00BC19CD">
        <w:rPr>
          <w:lang w:val="en-US"/>
        </w:rPr>
        <w:t>b</w:t>
      </w:r>
      <w:r>
        <w:rPr>
          <w:lang w:val="en-US"/>
        </w:rPr>
        <w:t xml:space="preserve">: Radiation pattern of 4x1 patch antenna array in </w:t>
      </w:r>
      <w:r w:rsidR="00F21A86">
        <w:rPr>
          <w:lang w:val="en-US"/>
        </w:rPr>
        <w:t xml:space="preserve">Radiation pattern of 4x1 patch antenna array in </w:t>
      </w:r>
      <w:r w:rsidR="00A06708">
        <w:rPr>
          <w:lang w:val="en-US"/>
        </w:rPr>
        <w:t>35</w:t>
      </w:r>
      <w:r w:rsidR="00F21A86">
        <w:rPr>
          <w:lang w:val="en-US"/>
        </w:rPr>
        <w:t>deg scan angle (while covering 45deg field of view) in elevation plane</w:t>
      </w:r>
    </w:p>
    <w:p w:rsidR="00A70A83" w:rsidRDefault="00A70A83" w:rsidP="00A70A83">
      <w:pPr>
        <w:jc w:val="both"/>
        <w:rPr>
          <w:lang w:val="en-US"/>
        </w:rPr>
      </w:pPr>
      <w:r w:rsidRPr="00BD738F">
        <w:rPr>
          <w:b/>
          <w:lang w:val="en-US"/>
        </w:rPr>
        <w:t>Observation</w:t>
      </w:r>
      <w:r>
        <w:rPr>
          <w:b/>
          <w:lang w:val="en-US"/>
        </w:rPr>
        <w:t xml:space="preserve"> 2</w:t>
      </w:r>
      <w:r w:rsidRPr="00BD738F">
        <w:rPr>
          <w:b/>
          <w:lang w:val="en-US"/>
        </w:rPr>
        <w:t>:</w:t>
      </w:r>
      <w:r>
        <w:rPr>
          <w:b/>
          <w:lang w:val="en-US"/>
        </w:rPr>
        <w:t xml:space="preserve"> Gain of a 1x4 array </w:t>
      </w:r>
      <w:r w:rsidR="00964C89">
        <w:rPr>
          <w:b/>
          <w:lang w:val="en-US"/>
        </w:rPr>
        <w:t>has a range of 1</w:t>
      </w:r>
      <w:r>
        <w:rPr>
          <w:b/>
          <w:lang w:val="en-US"/>
        </w:rPr>
        <w:t>dB with peak</w:t>
      </w:r>
      <w:r w:rsidR="00964C89">
        <w:rPr>
          <w:b/>
          <w:lang w:val="en-US"/>
        </w:rPr>
        <w:t xml:space="preserve"> gain in boresight being 10</w:t>
      </w:r>
      <w:r>
        <w:rPr>
          <w:b/>
          <w:lang w:val="en-US"/>
        </w:rPr>
        <w:t>dB</w:t>
      </w:r>
    </w:p>
    <w:p w:rsidR="00E15B9B" w:rsidRDefault="00D1464F" w:rsidP="00513FB9">
      <w:pPr>
        <w:jc w:val="both"/>
        <w:rPr>
          <w:lang w:val="en-US"/>
        </w:rPr>
      </w:pPr>
      <w:r>
        <w:rPr>
          <w:lang w:val="en-US"/>
        </w:rPr>
        <w:t xml:space="preserve">The above input </w:t>
      </w:r>
      <w:r w:rsidR="00EB6BB5">
        <w:rPr>
          <w:lang w:val="en-US"/>
        </w:rPr>
        <w:t xml:space="preserve">on variation of antenna array gain is fed to </w:t>
      </w:r>
      <w:proofErr w:type="spellStart"/>
      <w:r w:rsidR="00EB6BB5">
        <w:rPr>
          <w:lang w:val="en-US"/>
        </w:rPr>
        <w:t>Tx</w:t>
      </w:r>
      <w:proofErr w:type="spellEnd"/>
      <w:r w:rsidR="00EB6BB5">
        <w:rPr>
          <w:lang w:val="en-US"/>
        </w:rPr>
        <w:t xml:space="preserve"> system </w:t>
      </w:r>
      <w:r w:rsidR="0092043A">
        <w:rPr>
          <w:lang w:val="en-US"/>
        </w:rPr>
        <w:t xml:space="preserve">simulator </w:t>
      </w:r>
      <w:r w:rsidR="00EB6BB5">
        <w:rPr>
          <w:lang w:val="en-US"/>
        </w:rPr>
        <w:t xml:space="preserve">with </w:t>
      </w:r>
      <w:r w:rsidR="0092043A">
        <w:rPr>
          <w:lang w:val="en-US"/>
        </w:rPr>
        <w:t xml:space="preserve">where </w:t>
      </w:r>
      <w:proofErr w:type="spellStart"/>
      <w:r w:rsidR="0092043A">
        <w:rPr>
          <w:lang w:val="en-US"/>
        </w:rPr>
        <w:t>basestation</w:t>
      </w:r>
      <w:proofErr w:type="spellEnd"/>
      <w:r w:rsidR="0092043A">
        <w:rPr>
          <w:lang w:val="en-US"/>
        </w:rPr>
        <w:t xml:space="preserve"> NF is 6dB and P1dB of each PA are 18dBm (case 1) and 14dBm (case 2). </w:t>
      </w:r>
      <w:r w:rsidR="00FB6B68">
        <w:rPr>
          <w:lang w:val="en-US"/>
        </w:rPr>
        <w:t xml:space="preserve">Post-PA losses are estimated to be 4.5dB consisting of </w:t>
      </w:r>
      <w:proofErr w:type="spellStart"/>
      <w:r w:rsidR="007446D7">
        <w:rPr>
          <w:lang w:val="en-US"/>
        </w:rPr>
        <w:t>loadline</w:t>
      </w:r>
      <w:proofErr w:type="spellEnd"/>
      <w:r w:rsidR="007446D7">
        <w:rPr>
          <w:lang w:val="en-US"/>
        </w:rPr>
        <w:t xml:space="preserve"> mismatch loss of 1dB (estimated from simulation), antenna feed loss of 1dB (estimated from simulation) and case/plastic loss of 2.5dB (observed from figures quoted by various companies). </w:t>
      </w:r>
      <w:r w:rsidR="00E15B9B">
        <w:rPr>
          <w:lang w:val="en-US"/>
        </w:rPr>
        <w:t xml:space="preserve">Based on these assumptions and simulations table 1 summarizes estimated range that a NLOS channel may </w:t>
      </w:r>
      <w:r w:rsidR="00827C4B">
        <w:rPr>
          <w:lang w:val="en-US"/>
        </w:rPr>
        <w:t>sustain with pi/2 BPSK, 16QAM and 64QAM modulations in DFT-s-OFDM signal.</w:t>
      </w:r>
      <w:r w:rsidR="003F5556">
        <w:rPr>
          <w:lang w:val="en-US"/>
        </w:rPr>
        <w:t xml:space="preserve"> The table considers EIRP in boresight of UE with 2x2 array.</w:t>
      </w:r>
      <w:r w:rsidR="00513FB9">
        <w:rPr>
          <w:lang w:val="en-US"/>
        </w:rPr>
        <w:t xml:space="preserve"> </w:t>
      </w:r>
      <w:r w:rsidR="002673FE">
        <w:rPr>
          <w:lang w:val="en-US"/>
        </w:rPr>
        <w:t xml:space="preserve">Effect of lower EIRP with high scan angles on range is shown subsequently. </w:t>
      </w:r>
      <w:r w:rsidR="00513FB9">
        <w:rPr>
          <w:lang w:val="en-US"/>
        </w:rPr>
        <w:t xml:space="preserve">The range is derived from SNR which is calculated from </w:t>
      </w:r>
      <w:proofErr w:type="spellStart"/>
      <w:r w:rsidR="004D48CB">
        <w:rPr>
          <w:lang w:val="en-US"/>
        </w:rPr>
        <w:t>mmW</w:t>
      </w:r>
      <w:proofErr w:type="spellEnd"/>
      <w:r w:rsidR="004D48CB">
        <w:rPr>
          <w:lang w:val="en-US"/>
        </w:rPr>
        <w:t xml:space="preserve"> </w:t>
      </w:r>
      <w:r w:rsidR="00642C73">
        <w:rPr>
          <w:lang w:val="en-US"/>
        </w:rPr>
        <w:t>5G</w:t>
      </w:r>
      <w:r w:rsidR="00513FB9">
        <w:rPr>
          <w:lang w:val="en-US"/>
        </w:rPr>
        <w:t xml:space="preserve"> channel model of 3GPP.</w:t>
      </w:r>
      <w:r w:rsidR="002B4E4D">
        <w:rPr>
          <w:lang w:val="en-US"/>
        </w:rPr>
        <w:t xml:space="preserve"> </w:t>
      </w:r>
      <w:r w:rsidR="004A662E">
        <w:rPr>
          <w:lang w:val="en-US"/>
        </w:rPr>
        <w:t>A single antenna module in boresigh</w:t>
      </w:r>
      <w:r w:rsidR="00B97C64">
        <w:rPr>
          <w:lang w:val="en-US"/>
        </w:rPr>
        <w:t>t would have 35%, 40% and 55% more range with 30dBm peak EIRP UE as compared to that with 26dBm.</w:t>
      </w:r>
    </w:p>
    <w:p w:rsidR="00513FB9" w:rsidRDefault="00513FB9" w:rsidP="00513FB9">
      <w:pPr>
        <w:jc w:val="both"/>
        <w:rPr>
          <w:i/>
          <w:lang w:val="en-US"/>
        </w:rPr>
      </w:pPr>
    </w:p>
    <w:p w:rsidR="00E15B9B" w:rsidRDefault="00E15B9B" w:rsidP="00E15B9B">
      <w:pPr>
        <w:jc w:val="center"/>
        <w:rPr>
          <w:i/>
          <w:lang w:val="en-US"/>
        </w:rPr>
      </w:pPr>
    </w:p>
    <w:p w:rsidR="00E15B9B" w:rsidRDefault="00E15B9B" w:rsidP="00E15B9B">
      <w:pPr>
        <w:jc w:val="center"/>
        <w:rPr>
          <w:i/>
          <w:lang w:val="en-US"/>
        </w:rPr>
      </w:pPr>
    </w:p>
    <w:p w:rsidR="00AC2D26" w:rsidRPr="00E15B9B" w:rsidRDefault="00AC2D26" w:rsidP="00E15B9B">
      <w:pPr>
        <w:jc w:val="center"/>
        <w:rPr>
          <w:i/>
          <w:lang w:val="en-US"/>
        </w:rPr>
      </w:pPr>
      <w:r w:rsidRPr="00E15B9B">
        <w:rPr>
          <w:i/>
          <w:lang w:val="en-US"/>
        </w:rPr>
        <w:t xml:space="preserve">Table 1: Range in NLOS channel with various modulations for </w:t>
      </w:r>
      <w:r w:rsidR="001F38ED">
        <w:rPr>
          <w:i/>
          <w:lang w:val="en-US"/>
        </w:rPr>
        <w:t xml:space="preserve">30dBm and </w:t>
      </w:r>
      <w:r w:rsidR="000D04C6">
        <w:rPr>
          <w:i/>
          <w:lang w:val="en-US"/>
        </w:rPr>
        <w:t>26dBm</w:t>
      </w:r>
      <w:r w:rsidR="004837E9">
        <w:rPr>
          <w:i/>
          <w:lang w:val="en-US"/>
        </w:rPr>
        <w:t xml:space="preserve"> boresight</w:t>
      </w:r>
      <w:r w:rsidR="000D04C6">
        <w:rPr>
          <w:i/>
          <w:lang w:val="en-US"/>
        </w:rPr>
        <w:t xml:space="preserve"> EIRP</w:t>
      </w:r>
    </w:p>
    <w:p w:rsidR="00AC2D26" w:rsidRDefault="00356C80" w:rsidP="007619AD">
      <w:pPr>
        <w:jc w:val="center"/>
        <w:rPr>
          <w:lang w:val="en-US"/>
        </w:rPr>
      </w:pPr>
      <w:r w:rsidRPr="00356C80">
        <w:drawing>
          <wp:inline distT="0" distB="0" distL="0" distR="0">
            <wp:extent cx="6115685" cy="34741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3474140"/>
                    </a:xfrm>
                    <a:prstGeom prst="rect">
                      <a:avLst/>
                    </a:prstGeom>
                    <a:noFill/>
                    <a:ln>
                      <a:noFill/>
                    </a:ln>
                  </pic:spPr>
                </pic:pic>
              </a:graphicData>
            </a:graphic>
          </wp:inline>
        </w:drawing>
      </w:r>
    </w:p>
    <w:p w:rsidR="00D054E9" w:rsidRDefault="00D054E9" w:rsidP="00FB6B68">
      <w:pPr>
        <w:jc w:val="both"/>
        <w:rPr>
          <w:b/>
          <w:lang w:val="en-US"/>
        </w:rPr>
      </w:pPr>
      <w:r w:rsidRPr="003B7419">
        <w:rPr>
          <w:b/>
          <w:lang w:val="en-US"/>
        </w:rPr>
        <w:t xml:space="preserve">Observation 3: 30dBm peak EIRP UE with 18dBm P1dB PA would deliver </w:t>
      </w:r>
      <w:proofErr w:type="spellStart"/>
      <w:r w:rsidRPr="003B7419">
        <w:rPr>
          <w:b/>
          <w:lang w:val="en-US"/>
        </w:rPr>
        <w:t>UMa</w:t>
      </w:r>
      <w:proofErr w:type="spellEnd"/>
      <w:r w:rsidRPr="003B7419">
        <w:rPr>
          <w:b/>
          <w:lang w:val="en-US"/>
        </w:rPr>
        <w:t xml:space="preserve"> use case.</w:t>
      </w:r>
    </w:p>
    <w:p w:rsidR="00C0113A" w:rsidRDefault="00402207" w:rsidP="00FB6B68">
      <w:pPr>
        <w:jc w:val="both"/>
        <w:rPr>
          <w:lang w:val="en-US"/>
        </w:rPr>
      </w:pPr>
      <w:r>
        <w:rPr>
          <w:lang w:val="en-US"/>
        </w:rPr>
        <w:t>Figure 5</w:t>
      </w:r>
      <w:r w:rsidR="00A13C2A">
        <w:rPr>
          <w:lang w:val="en-US"/>
        </w:rPr>
        <w:t xml:space="preserve"> shows </w:t>
      </w:r>
      <w:r w:rsidR="00D75CF3">
        <w:rPr>
          <w:lang w:val="en-US"/>
        </w:rPr>
        <w:t xml:space="preserve">degradation of range of NLOS channel with respect to boresight vision, 40deg scan angle for a 30dBm and 26dBm peak EIRP antenna </w:t>
      </w:r>
      <w:r w:rsidR="00711B05">
        <w:rPr>
          <w:lang w:val="en-US"/>
        </w:rPr>
        <w:t xml:space="preserve">module in UE when various </w:t>
      </w:r>
      <w:r w:rsidR="00130AC0">
        <w:rPr>
          <w:lang w:val="en-US"/>
        </w:rPr>
        <w:t>modulation depths are considered.</w:t>
      </w:r>
      <w:r w:rsidR="00B42811">
        <w:rPr>
          <w:lang w:val="en-US"/>
        </w:rPr>
        <w:t xml:space="preserve"> It may be observed that although degradation of array factor in 40deg scan angle leads to loss in channel range, impact of low EIRP is far more on the same. For example, in pi/2-BPSK modulation, which is application in cell edge scenario, </w:t>
      </w:r>
      <w:r w:rsidR="00A767DE">
        <w:rPr>
          <w:lang w:val="en-US"/>
        </w:rPr>
        <w:t>range loss due to 4dBm lower EIRP is 3 times than that due to high scan angle.</w:t>
      </w:r>
      <w:r w:rsidR="00C809BF">
        <w:rPr>
          <w:lang w:val="en-US"/>
        </w:rPr>
        <w:t xml:space="preserve"> This factor of 3 loss increases to a factor of 6 with an EIRP of 22dBm in boresight.</w:t>
      </w:r>
      <w:r w:rsidR="00934FF2">
        <w:rPr>
          <w:lang w:val="en-US"/>
        </w:rPr>
        <w:t xml:space="preserve"> All the above observations are based on a comparatively narrow field of view (maximum +/-45 </w:t>
      </w:r>
      <w:proofErr w:type="spellStart"/>
      <w:r w:rsidR="00934FF2">
        <w:rPr>
          <w:lang w:val="en-US"/>
        </w:rPr>
        <w:t>deg</w:t>
      </w:r>
      <w:proofErr w:type="spellEnd"/>
      <w:r w:rsidR="00934FF2">
        <w:rPr>
          <w:lang w:val="en-US"/>
        </w:rPr>
        <w:t xml:space="preserve"> in both elevation and azimuth planes)</w:t>
      </w:r>
      <w:r w:rsidR="005B5802">
        <w:rPr>
          <w:lang w:val="en-US"/>
        </w:rPr>
        <w:t xml:space="preserve"> as compared to </w:t>
      </w:r>
      <w:r w:rsidR="00B368C4">
        <w:rPr>
          <w:lang w:val="en-US"/>
        </w:rPr>
        <w:t xml:space="preserve">required coverage of UE. </w:t>
      </w:r>
      <w:r w:rsidR="00562439">
        <w:rPr>
          <w:lang w:val="en-US"/>
        </w:rPr>
        <w:t xml:space="preserve">Coverage of UE may be improved in 3 primary manners – </w:t>
      </w:r>
    </w:p>
    <w:p w:rsidR="00562439" w:rsidRDefault="00562439" w:rsidP="00562439">
      <w:pPr>
        <w:pStyle w:val="ListParagraph"/>
        <w:numPr>
          <w:ilvl w:val="0"/>
          <w:numId w:val="11"/>
        </w:numPr>
        <w:jc w:val="both"/>
        <w:rPr>
          <w:lang w:val="en-US"/>
        </w:rPr>
      </w:pPr>
      <w:r>
        <w:rPr>
          <w:lang w:val="en-US"/>
        </w:rPr>
        <w:t>Increasing number of antenna modules in UE</w:t>
      </w:r>
    </w:p>
    <w:p w:rsidR="00562439" w:rsidRDefault="00562439" w:rsidP="00562439">
      <w:pPr>
        <w:pStyle w:val="ListParagraph"/>
        <w:numPr>
          <w:ilvl w:val="0"/>
          <w:numId w:val="11"/>
        </w:numPr>
        <w:jc w:val="both"/>
        <w:rPr>
          <w:lang w:val="en-US"/>
        </w:rPr>
      </w:pPr>
      <w:r>
        <w:rPr>
          <w:lang w:val="en-US"/>
        </w:rPr>
        <w:t>Increasing field of view of a single antenna module without degrading array factor significantly (in this study this has been restricted to 1dB or 1.5dB in a 2x2 or 1x4 array)</w:t>
      </w:r>
    </w:p>
    <w:p w:rsidR="00906329" w:rsidRDefault="00906329" w:rsidP="00562439">
      <w:pPr>
        <w:pStyle w:val="ListParagraph"/>
        <w:numPr>
          <w:ilvl w:val="0"/>
          <w:numId w:val="11"/>
        </w:numPr>
        <w:jc w:val="both"/>
        <w:rPr>
          <w:lang w:val="en-US"/>
        </w:rPr>
      </w:pPr>
      <w:r>
        <w:rPr>
          <w:lang w:val="en-US"/>
        </w:rPr>
        <w:t>Increasing EIRP of each antenna module.</w:t>
      </w:r>
    </w:p>
    <w:p w:rsidR="00906329" w:rsidRPr="00906329" w:rsidRDefault="00906329" w:rsidP="00906329">
      <w:pPr>
        <w:jc w:val="both"/>
        <w:rPr>
          <w:lang w:val="en-US"/>
        </w:rPr>
      </w:pPr>
      <w:r>
        <w:rPr>
          <w:lang w:val="en-US"/>
        </w:rPr>
        <w:t xml:space="preserve">In the opinion of the author, case for high EIRP is clear. Although high EIRP is always desirable for high quality channel, it has been derived that 30dBm peak EIRP (minimum peak EIRP as per RAN4 discussions) would be feasible on UE side and it would suffice to (under stated assumptions) the enablement of </w:t>
      </w:r>
      <w:proofErr w:type="spellStart"/>
      <w:r>
        <w:rPr>
          <w:lang w:val="en-US"/>
        </w:rPr>
        <w:t>UMa</w:t>
      </w:r>
      <w:proofErr w:type="spellEnd"/>
      <w:r>
        <w:rPr>
          <w:lang w:val="en-US"/>
        </w:rPr>
        <w:t xml:space="preserve"> </w:t>
      </w:r>
      <w:proofErr w:type="spellStart"/>
      <w:r>
        <w:rPr>
          <w:lang w:val="en-US"/>
        </w:rPr>
        <w:t>usecase</w:t>
      </w:r>
      <w:proofErr w:type="spellEnd"/>
      <w:r>
        <w:rPr>
          <w:lang w:val="en-US"/>
        </w:rPr>
        <w:t>.</w:t>
      </w:r>
      <w:r w:rsidR="00824EF3">
        <w:rPr>
          <w:lang w:val="en-US"/>
        </w:rPr>
        <w:t xml:space="preserve"> </w:t>
      </w:r>
      <w:r w:rsidR="0089130B">
        <w:rPr>
          <w:lang w:val="en-US"/>
        </w:rPr>
        <w:t>The relation of this EIRP of single antenna module to %</w:t>
      </w:r>
      <w:proofErr w:type="spellStart"/>
      <w:r w:rsidR="0089130B">
        <w:rPr>
          <w:lang w:val="en-US"/>
        </w:rPr>
        <w:t>ile</w:t>
      </w:r>
      <w:proofErr w:type="spellEnd"/>
      <w:r w:rsidR="0089130B">
        <w:rPr>
          <w:lang w:val="en-US"/>
        </w:rPr>
        <w:t xml:space="preserve"> coverage of UE is subject to further studies, which are already ongoing in RAN4.</w:t>
      </w:r>
    </w:p>
    <w:p w:rsidR="00402207" w:rsidRDefault="008C5E7D" w:rsidP="00402207">
      <w:pPr>
        <w:jc w:val="center"/>
        <w:rPr>
          <w:lang w:val="en-US"/>
        </w:rPr>
      </w:pPr>
      <w:r>
        <w:rPr>
          <w:noProof/>
          <w:lang w:val="en-US"/>
        </w:rPr>
        <w:lastRenderedPageBreak/>
        <w:drawing>
          <wp:inline distT="0" distB="0" distL="0" distR="0" wp14:anchorId="7B9F6771">
            <wp:extent cx="4584700" cy="2761615"/>
            <wp:effectExtent l="0" t="0" r="635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761615"/>
                    </a:xfrm>
                    <a:prstGeom prst="rect">
                      <a:avLst/>
                    </a:prstGeom>
                    <a:noFill/>
                  </pic:spPr>
                </pic:pic>
              </a:graphicData>
            </a:graphic>
          </wp:inline>
        </w:drawing>
      </w:r>
    </w:p>
    <w:p w:rsidR="00402207" w:rsidRDefault="00402207" w:rsidP="00402207">
      <w:pPr>
        <w:jc w:val="center"/>
        <w:rPr>
          <w:lang w:val="en-US"/>
        </w:rPr>
      </w:pPr>
      <w:r>
        <w:rPr>
          <w:lang w:val="en-US"/>
        </w:rPr>
        <w:t xml:space="preserve">Figure 5: </w:t>
      </w:r>
      <w:r w:rsidR="006007C1">
        <w:rPr>
          <w:lang w:val="en-US"/>
        </w:rPr>
        <w:t>Comparison of range of various UE options in boresight and 40deg scan angle.</w:t>
      </w:r>
    </w:p>
    <w:p w:rsidR="00A41396" w:rsidRPr="00A41396" w:rsidRDefault="00A41396" w:rsidP="00A41396">
      <w:pPr>
        <w:jc w:val="both"/>
        <w:rPr>
          <w:b/>
          <w:lang w:val="en-US"/>
        </w:rPr>
      </w:pPr>
      <w:r w:rsidRPr="00A41396">
        <w:rPr>
          <w:b/>
          <w:lang w:val="en-US"/>
        </w:rPr>
        <w:t>Observation 4:</w:t>
      </w:r>
      <w:r w:rsidR="005D3A5B">
        <w:rPr>
          <w:b/>
          <w:lang w:val="en-US"/>
        </w:rPr>
        <w:t xml:space="preserve"> </w:t>
      </w:r>
      <w:r w:rsidRPr="00A41396">
        <w:rPr>
          <w:b/>
          <w:lang w:val="en-US"/>
        </w:rPr>
        <w:t xml:space="preserve">Effect of low </w:t>
      </w:r>
      <w:r w:rsidR="000948DF">
        <w:rPr>
          <w:b/>
          <w:lang w:val="en-US"/>
        </w:rPr>
        <w:t xml:space="preserve">peak </w:t>
      </w:r>
      <w:r w:rsidRPr="00A41396">
        <w:rPr>
          <w:b/>
          <w:lang w:val="en-US"/>
        </w:rPr>
        <w:t>EIRP (4dB or 8dB</w:t>
      </w:r>
      <w:r w:rsidR="00822B6E">
        <w:rPr>
          <w:b/>
          <w:lang w:val="en-US"/>
        </w:rPr>
        <w:t xml:space="preserve"> lower</w:t>
      </w:r>
      <w:r w:rsidRPr="00A41396">
        <w:rPr>
          <w:b/>
          <w:lang w:val="en-US"/>
        </w:rPr>
        <w:t>) is thrice or six times than that of array factor degra</w:t>
      </w:r>
      <w:r w:rsidR="001B3C5B">
        <w:rPr>
          <w:b/>
          <w:lang w:val="en-US"/>
        </w:rPr>
        <w:t>da</w:t>
      </w:r>
      <w:r w:rsidRPr="00A41396">
        <w:rPr>
          <w:b/>
          <w:lang w:val="en-US"/>
        </w:rPr>
        <w:t xml:space="preserve">tion on </w:t>
      </w:r>
      <w:r>
        <w:rPr>
          <w:b/>
          <w:lang w:val="en-US"/>
        </w:rPr>
        <w:t>range of UE in UL</w:t>
      </w:r>
      <w:r w:rsidR="005D3A5B">
        <w:rPr>
          <w:b/>
          <w:lang w:val="en-US"/>
        </w:rPr>
        <w:t xml:space="preserve"> in cell edge scenario.</w:t>
      </w:r>
    </w:p>
    <w:p w:rsidR="00377AA0" w:rsidRDefault="00377AA0" w:rsidP="00377AA0">
      <w:pPr>
        <w:pStyle w:val="Heading1"/>
        <w:rPr>
          <w:lang w:val="en-US"/>
        </w:rPr>
      </w:pPr>
      <w:r>
        <w:rPr>
          <w:lang w:val="en-US"/>
        </w:rPr>
        <w:t>Conclusion</w:t>
      </w:r>
      <w:r w:rsidR="00EA5090">
        <w:rPr>
          <w:lang w:val="en-US"/>
        </w:rPr>
        <w:t>s</w:t>
      </w:r>
    </w:p>
    <w:p w:rsidR="008868D2" w:rsidRDefault="008868D2" w:rsidP="008868D2">
      <w:pPr>
        <w:jc w:val="both"/>
        <w:rPr>
          <w:b/>
          <w:lang w:val="en-US"/>
        </w:rPr>
      </w:pPr>
    </w:p>
    <w:p w:rsidR="008868D2" w:rsidRPr="00BD738F" w:rsidRDefault="008868D2" w:rsidP="008868D2">
      <w:pPr>
        <w:jc w:val="both"/>
        <w:rPr>
          <w:b/>
          <w:lang w:val="en-US"/>
        </w:rPr>
      </w:pPr>
      <w:r w:rsidRPr="00BD738F">
        <w:rPr>
          <w:b/>
          <w:lang w:val="en-US"/>
        </w:rPr>
        <w:t>Observation 1:</w:t>
      </w:r>
      <w:r>
        <w:rPr>
          <w:b/>
          <w:lang w:val="en-US"/>
        </w:rPr>
        <w:t xml:space="preserve"> Gain of a 2x2 array has a range of 1.5dB with peak gain in boresight being 10.5dB</w:t>
      </w:r>
    </w:p>
    <w:p w:rsidR="008868D2" w:rsidRDefault="008868D2" w:rsidP="008868D2">
      <w:pPr>
        <w:jc w:val="both"/>
        <w:rPr>
          <w:lang w:val="en-US"/>
        </w:rPr>
      </w:pPr>
      <w:r w:rsidRPr="00BD738F">
        <w:rPr>
          <w:b/>
          <w:lang w:val="en-US"/>
        </w:rPr>
        <w:t>Observation</w:t>
      </w:r>
      <w:r>
        <w:rPr>
          <w:b/>
          <w:lang w:val="en-US"/>
        </w:rPr>
        <w:t xml:space="preserve"> 2</w:t>
      </w:r>
      <w:r w:rsidRPr="00BD738F">
        <w:rPr>
          <w:b/>
          <w:lang w:val="en-US"/>
        </w:rPr>
        <w:t>:</w:t>
      </w:r>
      <w:r>
        <w:rPr>
          <w:b/>
          <w:lang w:val="en-US"/>
        </w:rPr>
        <w:t xml:space="preserve"> Gain of a 1x4 array has a range of 1dB with peak gain in boresight being 10dB</w:t>
      </w:r>
    </w:p>
    <w:p w:rsidR="008868D2" w:rsidRDefault="008868D2" w:rsidP="008868D2">
      <w:pPr>
        <w:jc w:val="both"/>
        <w:rPr>
          <w:b/>
          <w:lang w:val="en-US"/>
        </w:rPr>
      </w:pPr>
      <w:r w:rsidRPr="003B7419">
        <w:rPr>
          <w:b/>
          <w:lang w:val="en-US"/>
        </w:rPr>
        <w:t xml:space="preserve">Observation 3: 30dBm </w:t>
      </w:r>
      <w:r w:rsidR="00C83F00">
        <w:rPr>
          <w:b/>
          <w:lang w:val="en-US"/>
        </w:rPr>
        <w:t>boresight</w:t>
      </w:r>
      <w:r w:rsidRPr="003B7419">
        <w:rPr>
          <w:b/>
          <w:lang w:val="en-US"/>
        </w:rPr>
        <w:t xml:space="preserve"> EIRP UE with 18dBm P1dB PA would deliver </w:t>
      </w:r>
      <w:proofErr w:type="spellStart"/>
      <w:r w:rsidRPr="003B7419">
        <w:rPr>
          <w:b/>
          <w:lang w:val="en-US"/>
        </w:rPr>
        <w:t>UMa</w:t>
      </w:r>
      <w:proofErr w:type="spellEnd"/>
      <w:r w:rsidRPr="003B7419">
        <w:rPr>
          <w:b/>
          <w:lang w:val="en-US"/>
        </w:rPr>
        <w:t xml:space="preserve"> use case.</w:t>
      </w:r>
    </w:p>
    <w:p w:rsidR="008868D2" w:rsidRDefault="008868D2" w:rsidP="008868D2">
      <w:pPr>
        <w:jc w:val="both"/>
        <w:rPr>
          <w:b/>
          <w:lang w:val="en-US"/>
        </w:rPr>
      </w:pPr>
      <w:r w:rsidRPr="00A41396">
        <w:rPr>
          <w:b/>
          <w:lang w:val="en-US"/>
        </w:rPr>
        <w:t>Observation 4:</w:t>
      </w:r>
      <w:r>
        <w:rPr>
          <w:b/>
          <w:lang w:val="en-US"/>
        </w:rPr>
        <w:t xml:space="preserve"> </w:t>
      </w:r>
      <w:r w:rsidRPr="00A41396">
        <w:rPr>
          <w:b/>
          <w:lang w:val="en-US"/>
        </w:rPr>
        <w:t xml:space="preserve">Effect of low </w:t>
      </w:r>
      <w:r w:rsidR="001539A0">
        <w:rPr>
          <w:b/>
          <w:lang w:val="en-US"/>
        </w:rPr>
        <w:t xml:space="preserve">peak </w:t>
      </w:r>
      <w:r w:rsidRPr="00A41396">
        <w:rPr>
          <w:b/>
          <w:lang w:val="en-US"/>
        </w:rPr>
        <w:t>EIRP (4dB or 8dB</w:t>
      </w:r>
      <w:r w:rsidR="001539A0">
        <w:rPr>
          <w:b/>
          <w:lang w:val="en-US"/>
        </w:rPr>
        <w:t xml:space="preserve"> lower</w:t>
      </w:r>
      <w:r w:rsidRPr="00A41396">
        <w:rPr>
          <w:b/>
          <w:lang w:val="en-US"/>
        </w:rPr>
        <w:t>) is thrice or six times than that of array factor degra</w:t>
      </w:r>
      <w:r>
        <w:rPr>
          <w:b/>
          <w:lang w:val="en-US"/>
        </w:rPr>
        <w:t>da</w:t>
      </w:r>
      <w:r w:rsidRPr="00A41396">
        <w:rPr>
          <w:b/>
          <w:lang w:val="en-US"/>
        </w:rPr>
        <w:t xml:space="preserve">tion on </w:t>
      </w:r>
      <w:r>
        <w:rPr>
          <w:b/>
          <w:lang w:val="en-US"/>
        </w:rPr>
        <w:t>range of UE in UL in cell edge scenario.</w:t>
      </w:r>
    </w:p>
    <w:p w:rsidR="00C83F00" w:rsidRDefault="00C83F00" w:rsidP="008868D2">
      <w:pPr>
        <w:jc w:val="both"/>
        <w:rPr>
          <w:b/>
          <w:lang w:val="en-US"/>
        </w:rPr>
      </w:pPr>
    </w:p>
    <w:p w:rsidR="00EA5090" w:rsidRDefault="00C83F00" w:rsidP="008866CD">
      <w:pPr>
        <w:jc w:val="both"/>
        <w:rPr>
          <w:b/>
          <w:lang w:val="en-US"/>
        </w:rPr>
      </w:pPr>
      <w:r>
        <w:rPr>
          <w:b/>
          <w:lang w:val="en-US"/>
        </w:rPr>
        <w:t>Proposal</w:t>
      </w:r>
      <w:r w:rsidR="001663C6">
        <w:rPr>
          <w:b/>
          <w:lang w:val="en-US"/>
        </w:rPr>
        <w:t xml:space="preserve"> 1</w:t>
      </w:r>
      <w:r>
        <w:rPr>
          <w:b/>
          <w:lang w:val="en-US"/>
        </w:rPr>
        <w:t>:</w:t>
      </w:r>
      <w:r w:rsidR="008866CD">
        <w:rPr>
          <w:b/>
          <w:lang w:val="en-US"/>
        </w:rPr>
        <w:t xml:space="preserve"> </w:t>
      </w:r>
      <w:r w:rsidR="008866CD" w:rsidRPr="003B7419">
        <w:rPr>
          <w:b/>
          <w:lang w:val="en-US"/>
        </w:rPr>
        <w:t xml:space="preserve">30dBm </w:t>
      </w:r>
      <w:r w:rsidR="008866CD">
        <w:rPr>
          <w:b/>
          <w:lang w:val="en-US"/>
        </w:rPr>
        <w:t>boresight</w:t>
      </w:r>
      <w:r w:rsidR="008866CD" w:rsidRPr="003B7419">
        <w:rPr>
          <w:b/>
          <w:lang w:val="en-US"/>
        </w:rPr>
        <w:t xml:space="preserve"> EIRP</w:t>
      </w:r>
      <w:r w:rsidR="00AF34E3">
        <w:rPr>
          <w:b/>
          <w:lang w:val="en-US"/>
        </w:rPr>
        <w:t xml:space="preserve"> (minimum)</w:t>
      </w:r>
      <w:r w:rsidR="008866CD">
        <w:rPr>
          <w:b/>
          <w:lang w:val="en-US"/>
        </w:rPr>
        <w:t xml:space="preserve"> of</w:t>
      </w:r>
      <w:r w:rsidR="008866CD" w:rsidRPr="003B7419">
        <w:rPr>
          <w:b/>
          <w:lang w:val="en-US"/>
        </w:rPr>
        <w:t xml:space="preserve"> </w:t>
      </w:r>
      <w:r w:rsidR="00AF34E3">
        <w:rPr>
          <w:b/>
          <w:lang w:val="en-US"/>
        </w:rPr>
        <w:t xml:space="preserve">1 antenna module of </w:t>
      </w:r>
      <w:r w:rsidR="008866CD" w:rsidRPr="003B7419">
        <w:rPr>
          <w:b/>
          <w:lang w:val="en-US"/>
        </w:rPr>
        <w:t xml:space="preserve">UE </w:t>
      </w:r>
      <w:r w:rsidR="008866CD">
        <w:rPr>
          <w:b/>
          <w:lang w:val="en-US"/>
        </w:rPr>
        <w:t xml:space="preserve">is required for full potential 5G </w:t>
      </w:r>
      <w:proofErr w:type="spellStart"/>
      <w:r w:rsidR="008866CD">
        <w:rPr>
          <w:b/>
          <w:lang w:val="en-US"/>
        </w:rPr>
        <w:t>mmW</w:t>
      </w:r>
      <w:proofErr w:type="spellEnd"/>
      <w:r w:rsidR="008866CD" w:rsidRPr="003B7419">
        <w:rPr>
          <w:b/>
          <w:lang w:val="en-US"/>
        </w:rPr>
        <w:t>.</w:t>
      </w:r>
    </w:p>
    <w:p w:rsidR="00AF34E3" w:rsidRPr="00EA5090" w:rsidRDefault="00AF34E3" w:rsidP="008866CD">
      <w:pPr>
        <w:jc w:val="both"/>
        <w:rPr>
          <w:lang w:val="en-US"/>
        </w:rPr>
      </w:pPr>
      <w:r>
        <w:rPr>
          <w:b/>
          <w:lang w:val="en-US"/>
        </w:rPr>
        <w:t>Proposal 2: 28.5</w:t>
      </w:r>
      <w:r w:rsidRPr="003B7419">
        <w:rPr>
          <w:b/>
          <w:lang w:val="en-US"/>
        </w:rPr>
        <w:t>dBm EIRP</w:t>
      </w:r>
      <w:r>
        <w:rPr>
          <w:b/>
          <w:lang w:val="en-US"/>
        </w:rPr>
        <w:t xml:space="preserve"> (minimum) at +/-</w:t>
      </w:r>
      <w:proofErr w:type="gramStart"/>
      <w:r>
        <w:rPr>
          <w:b/>
          <w:lang w:val="en-US"/>
        </w:rPr>
        <w:t>40 degree</w:t>
      </w:r>
      <w:proofErr w:type="gramEnd"/>
      <w:r>
        <w:rPr>
          <w:b/>
          <w:lang w:val="en-US"/>
        </w:rPr>
        <w:t xml:space="preserve"> scan angle (of 1 antenna module) of</w:t>
      </w:r>
      <w:r w:rsidRPr="003B7419">
        <w:rPr>
          <w:b/>
          <w:lang w:val="en-US"/>
        </w:rPr>
        <w:t xml:space="preserve"> UE </w:t>
      </w:r>
      <w:r>
        <w:rPr>
          <w:b/>
          <w:lang w:val="en-US"/>
        </w:rPr>
        <w:t>is required</w:t>
      </w:r>
      <w:r w:rsidRPr="003B7419">
        <w:rPr>
          <w:b/>
          <w:lang w:val="en-US"/>
        </w:rPr>
        <w:t>.</w:t>
      </w:r>
    </w:p>
    <w:p w:rsidR="00377AA0" w:rsidRDefault="00377AA0" w:rsidP="00A87E1F">
      <w:pPr>
        <w:pStyle w:val="Heading1"/>
        <w:numPr>
          <w:ilvl w:val="0"/>
          <w:numId w:val="0"/>
        </w:numPr>
        <w:pBdr>
          <w:top w:val="single" w:sz="12" w:space="2" w:color="auto"/>
        </w:pBdr>
        <w:tabs>
          <w:tab w:val="num" w:pos="432"/>
        </w:tabs>
        <w:rPr>
          <w:lang w:val="en-US"/>
        </w:rPr>
      </w:pPr>
      <w:r>
        <w:rPr>
          <w:lang w:val="en-US"/>
        </w:rPr>
        <w:t>Reference</w:t>
      </w:r>
    </w:p>
    <w:p w:rsidR="007A5F86" w:rsidRPr="007A5F86" w:rsidRDefault="007A5F86" w:rsidP="007A5F86">
      <w:pPr>
        <w:rPr>
          <w:lang w:val="en-US"/>
        </w:rPr>
      </w:pPr>
      <w:r>
        <w:rPr>
          <w:lang w:val="en-US"/>
        </w:rPr>
        <w:t>[1]</w:t>
      </w:r>
      <w:r>
        <w:rPr>
          <w:lang w:val="en-US"/>
        </w:rPr>
        <w:tab/>
        <w:t>“</w:t>
      </w:r>
      <w:r w:rsidRPr="0034350B">
        <w:rPr>
          <w:lang w:val="en-US"/>
        </w:rPr>
        <w:t>EIRP requirement, feasibility and associated TRP”, R4-1800944, 3GPP RAN4-AH-1801.</w:t>
      </w:r>
    </w:p>
    <w:p w:rsidR="0002149D" w:rsidRPr="0002149D" w:rsidRDefault="0002149D" w:rsidP="0002149D">
      <w:pPr>
        <w:rPr>
          <w:lang w:val="en-US"/>
        </w:rPr>
      </w:pPr>
    </w:p>
    <w:p w:rsidR="00423497" w:rsidRDefault="00423497"/>
    <w:sectPr w:rsidR="00423497" w:rsidSect="000B158E">
      <w:footerReference w:type="even" r:id="rId15"/>
      <w:footerReference w:type="defaul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158E" w:rsidRDefault="000B158E" w:rsidP="008B7717">
      <w:pPr>
        <w:spacing w:after="0" w:line="240" w:lineRule="auto"/>
      </w:pPr>
      <w:r>
        <w:separator/>
      </w:r>
    </w:p>
  </w:endnote>
  <w:endnote w:type="continuationSeparator" w:id="0">
    <w:p w:rsidR="000B158E" w:rsidRDefault="000B158E" w:rsidP="008B7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158E" w:rsidRDefault="000B158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0B158E" w:rsidRDefault="000B15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158E" w:rsidRDefault="000B158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B2636">
      <w:rPr>
        <w:rStyle w:val="PageNumber"/>
      </w:rPr>
      <w:t>6</w:t>
    </w:r>
    <w:r>
      <w:rPr>
        <w:rStyle w:val="PageNumber"/>
      </w:rPr>
      <w:fldChar w:fldCharType="end"/>
    </w:r>
  </w:p>
  <w:p w:rsidR="000B158E" w:rsidRDefault="000B158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158E" w:rsidRDefault="000B158E" w:rsidP="008B7717">
      <w:pPr>
        <w:spacing w:after="0" w:line="240" w:lineRule="auto"/>
      </w:pPr>
      <w:r>
        <w:separator/>
      </w:r>
    </w:p>
  </w:footnote>
  <w:footnote w:type="continuationSeparator" w:id="0">
    <w:p w:rsidR="000B158E" w:rsidRDefault="000B158E" w:rsidP="008B77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B165C"/>
    <w:multiLevelType w:val="hybridMultilevel"/>
    <w:tmpl w:val="04CC88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13C46"/>
    <w:multiLevelType w:val="hybridMultilevel"/>
    <w:tmpl w:val="4A70F9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2F333E"/>
    <w:multiLevelType w:val="hybridMultilevel"/>
    <w:tmpl w:val="73A05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4F59F0"/>
    <w:multiLevelType w:val="multilevel"/>
    <w:tmpl w:val="9AC4E8D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4ED512FE"/>
    <w:multiLevelType w:val="hybridMultilevel"/>
    <w:tmpl w:val="B4A253B6"/>
    <w:lvl w:ilvl="0" w:tplc="DB445262">
      <w:start w:val="1"/>
      <w:numFmt w:val="bullet"/>
      <w:lvlText w:val="•"/>
      <w:lvlJc w:val="left"/>
      <w:pPr>
        <w:tabs>
          <w:tab w:val="num" w:pos="720"/>
        </w:tabs>
        <w:ind w:left="720" w:hanging="360"/>
      </w:pPr>
      <w:rPr>
        <w:rFonts w:ascii="Arial" w:hAnsi="Arial" w:hint="default"/>
      </w:rPr>
    </w:lvl>
    <w:lvl w:ilvl="1" w:tplc="F20A2BD8">
      <w:start w:val="1"/>
      <w:numFmt w:val="bullet"/>
      <w:lvlText w:val="•"/>
      <w:lvlJc w:val="left"/>
      <w:pPr>
        <w:tabs>
          <w:tab w:val="num" w:pos="1440"/>
        </w:tabs>
        <w:ind w:left="1440" w:hanging="360"/>
      </w:pPr>
      <w:rPr>
        <w:rFonts w:ascii="Arial" w:hAnsi="Arial" w:hint="default"/>
      </w:rPr>
    </w:lvl>
    <w:lvl w:ilvl="2" w:tplc="496AEA0C" w:tentative="1">
      <w:start w:val="1"/>
      <w:numFmt w:val="bullet"/>
      <w:lvlText w:val="•"/>
      <w:lvlJc w:val="left"/>
      <w:pPr>
        <w:tabs>
          <w:tab w:val="num" w:pos="2160"/>
        </w:tabs>
        <w:ind w:left="2160" w:hanging="360"/>
      </w:pPr>
      <w:rPr>
        <w:rFonts w:ascii="Arial" w:hAnsi="Arial" w:hint="default"/>
      </w:rPr>
    </w:lvl>
    <w:lvl w:ilvl="3" w:tplc="51FA353A" w:tentative="1">
      <w:start w:val="1"/>
      <w:numFmt w:val="bullet"/>
      <w:lvlText w:val="•"/>
      <w:lvlJc w:val="left"/>
      <w:pPr>
        <w:tabs>
          <w:tab w:val="num" w:pos="2880"/>
        </w:tabs>
        <w:ind w:left="2880" w:hanging="360"/>
      </w:pPr>
      <w:rPr>
        <w:rFonts w:ascii="Arial" w:hAnsi="Arial" w:hint="default"/>
      </w:rPr>
    </w:lvl>
    <w:lvl w:ilvl="4" w:tplc="48A67A22" w:tentative="1">
      <w:start w:val="1"/>
      <w:numFmt w:val="bullet"/>
      <w:lvlText w:val="•"/>
      <w:lvlJc w:val="left"/>
      <w:pPr>
        <w:tabs>
          <w:tab w:val="num" w:pos="3600"/>
        </w:tabs>
        <w:ind w:left="3600" w:hanging="360"/>
      </w:pPr>
      <w:rPr>
        <w:rFonts w:ascii="Arial" w:hAnsi="Arial" w:hint="default"/>
      </w:rPr>
    </w:lvl>
    <w:lvl w:ilvl="5" w:tplc="FB1AB14C" w:tentative="1">
      <w:start w:val="1"/>
      <w:numFmt w:val="bullet"/>
      <w:lvlText w:val="•"/>
      <w:lvlJc w:val="left"/>
      <w:pPr>
        <w:tabs>
          <w:tab w:val="num" w:pos="4320"/>
        </w:tabs>
        <w:ind w:left="4320" w:hanging="360"/>
      </w:pPr>
      <w:rPr>
        <w:rFonts w:ascii="Arial" w:hAnsi="Arial" w:hint="default"/>
      </w:rPr>
    </w:lvl>
    <w:lvl w:ilvl="6" w:tplc="42FAF36A" w:tentative="1">
      <w:start w:val="1"/>
      <w:numFmt w:val="bullet"/>
      <w:lvlText w:val="•"/>
      <w:lvlJc w:val="left"/>
      <w:pPr>
        <w:tabs>
          <w:tab w:val="num" w:pos="5040"/>
        </w:tabs>
        <w:ind w:left="5040" w:hanging="360"/>
      </w:pPr>
      <w:rPr>
        <w:rFonts w:ascii="Arial" w:hAnsi="Arial" w:hint="default"/>
      </w:rPr>
    </w:lvl>
    <w:lvl w:ilvl="7" w:tplc="B6DCB020" w:tentative="1">
      <w:start w:val="1"/>
      <w:numFmt w:val="bullet"/>
      <w:lvlText w:val="•"/>
      <w:lvlJc w:val="left"/>
      <w:pPr>
        <w:tabs>
          <w:tab w:val="num" w:pos="5760"/>
        </w:tabs>
        <w:ind w:left="5760" w:hanging="360"/>
      </w:pPr>
      <w:rPr>
        <w:rFonts w:ascii="Arial" w:hAnsi="Arial" w:hint="default"/>
      </w:rPr>
    </w:lvl>
    <w:lvl w:ilvl="8" w:tplc="60A031F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7DE0FF5"/>
    <w:multiLevelType w:val="hybridMultilevel"/>
    <w:tmpl w:val="ADB2FC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5655DD"/>
    <w:multiLevelType w:val="hybridMultilevel"/>
    <w:tmpl w:val="A1522D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A023D1"/>
    <w:multiLevelType w:val="hybridMultilevel"/>
    <w:tmpl w:val="46A82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347402"/>
    <w:multiLevelType w:val="hybridMultilevel"/>
    <w:tmpl w:val="673E3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4"/>
  </w:num>
  <w:num w:numId="4">
    <w:abstractNumId w:val="2"/>
  </w:num>
  <w:num w:numId="5">
    <w:abstractNumId w:val="0"/>
  </w:num>
  <w:num w:numId="6">
    <w:abstractNumId w:val="3"/>
  </w:num>
  <w:num w:numId="7">
    <w:abstractNumId w:val="7"/>
  </w:num>
  <w:num w:numId="8">
    <w:abstractNumId w:val="8"/>
  </w:num>
  <w:num w:numId="9">
    <w:abstractNumId w:val="1"/>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D79"/>
    <w:rsid w:val="00013BA6"/>
    <w:rsid w:val="0002149D"/>
    <w:rsid w:val="000243E7"/>
    <w:rsid w:val="00030E4B"/>
    <w:rsid w:val="0004343C"/>
    <w:rsid w:val="00066C25"/>
    <w:rsid w:val="00072707"/>
    <w:rsid w:val="00083F83"/>
    <w:rsid w:val="000948DF"/>
    <w:rsid w:val="000A22C5"/>
    <w:rsid w:val="000B0312"/>
    <w:rsid w:val="000B158E"/>
    <w:rsid w:val="000C2273"/>
    <w:rsid w:val="000D04C6"/>
    <w:rsid w:val="0011786E"/>
    <w:rsid w:val="00130AC0"/>
    <w:rsid w:val="001539A0"/>
    <w:rsid w:val="0016224A"/>
    <w:rsid w:val="001663C6"/>
    <w:rsid w:val="001A2FE5"/>
    <w:rsid w:val="001B3C5B"/>
    <w:rsid w:val="001E031F"/>
    <w:rsid w:val="001E577E"/>
    <w:rsid w:val="001F38ED"/>
    <w:rsid w:val="00203FC5"/>
    <w:rsid w:val="002077E1"/>
    <w:rsid w:val="00221FFF"/>
    <w:rsid w:val="0024153C"/>
    <w:rsid w:val="0024348B"/>
    <w:rsid w:val="00250431"/>
    <w:rsid w:val="002512E9"/>
    <w:rsid w:val="002612E2"/>
    <w:rsid w:val="002616EA"/>
    <w:rsid w:val="002673FE"/>
    <w:rsid w:val="002760A4"/>
    <w:rsid w:val="00276E08"/>
    <w:rsid w:val="00280147"/>
    <w:rsid w:val="002B4E4D"/>
    <w:rsid w:val="002E0666"/>
    <w:rsid w:val="00301149"/>
    <w:rsid w:val="00302553"/>
    <w:rsid w:val="00302AB2"/>
    <w:rsid w:val="00311AFE"/>
    <w:rsid w:val="003126C6"/>
    <w:rsid w:val="0032343E"/>
    <w:rsid w:val="003426E5"/>
    <w:rsid w:val="003429B8"/>
    <w:rsid w:val="0034350B"/>
    <w:rsid w:val="00356C80"/>
    <w:rsid w:val="00377AA0"/>
    <w:rsid w:val="003938FE"/>
    <w:rsid w:val="003A0534"/>
    <w:rsid w:val="003B1CC9"/>
    <w:rsid w:val="003B7419"/>
    <w:rsid w:val="003C0AF2"/>
    <w:rsid w:val="003E090D"/>
    <w:rsid w:val="003E1A2B"/>
    <w:rsid w:val="003E2AC9"/>
    <w:rsid w:val="003E6D03"/>
    <w:rsid w:val="003F5556"/>
    <w:rsid w:val="00402207"/>
    <w:rsid w:val="00413280"/>
    <w:rsid w:val="00414930"/>
    <w:rsid w:val="00423497"/>
    <w:rsid w:val="00440555"/>
    <w:rsid w:val="00442078"/>
    <w:rsid w:val="00446B5B"/>
    <w:rsid w:val="004643C3"/>
    <w:rsid w:val="00467956"/>
    <w:rsid w:val="004775E6"/>
    <w:rsid w:val="00482EB8"/>
    <w:rsid w:val="004837E9"/>
    <w:rsid w:val="00491553"/>
    <w:rsid w:val="004A662E"/>
    <w:rsid w:val="004B2D79"/>
    <w:rsid w:val="004B6646"/>
    <w:rsid w:val="004D48CB"/>
    <w:rsid w:val="0051268A"/>
    <w:rsid w:val="00513FB9"/>
    <w:rsid w:val="005164FF"/>
    <w:rsid w:val="0051665B"/>
    <w:rsid w:val="00533A03"/>
    <w:rsid w:val="00542371"/>
    <w:rsid w:val="00545D6A"/>
    <w:rsid w:val="00547577"/>
    <w:rsid w:val="0055419C"/>
    <w:rsid w:val="00562439"/>
    <w:rsid w:val="005670D5"/>
    <w:rsid w:val="0057234E"/>
    <w:rsid w:val="00581632"/>
    <w:rsid w:val="00582DBE"/>
    <w:rsid w:val="00582F92"/>
    <w:rsid w:val="005A6182"/>
    <w:rsid w:val="005B2310"/>
    <w:rsid w:val="005B5802"/>
    <w:rsid w:val="005B6506"/>
    <w:rsid w:val="005D3A5B"/>
    <w:rsid w:val="005D7014"/>
    <w:rsid w:val="005E1178"/>
    <w:rsid w:val="005E7895"/>
    <w:rsid w:val="005F1E5D"/>
    <w:rsid w:val="006007C1"/>
    <w:rsid w:val="006010D5"/>
    <w:rsid w:val="006116E3"/>
    <w:rsid w:val="006132B8"/>
    <w:rsid w:val="00633EF9"/>
    <w:rsid w:val="00642C73"/>
    <w:rsid w:val="00643D91"/>
    <w:rsid w:val="006544A6"/>
    <w:rsid w:val="006667AF"/>
    <w:rsid w:val="006C3DE0"/>
    <w:rsid w:val="006C7559"/>
    <w:rsid w:val="006F67D4"/>
    <w:rsid w:val="00701B16"/>
    <w:rsid w:val="00711B05"/>
    <w:rsid w:val="007446D7"/>
    <w:rsid w:val="007619AD"/>
    <w:rsid w:val="00767549"/>
    <w:rsid w:val="00774F3C"/>
    <w:rsid w:val="00791C41"/>
    <w:rsid w:val="007A5F86"/>
    <w:rsid w:val="007C1CB2"/>
    <w:rsid w:val="007E22CA"/>
    <w:rsid w:val="007F237D"/>
    <w:rsid w:val="00810A57"/>
    <w:rsid w:val="00822B6E"/>
    <w:rsid w:val="00824EF3"/>
    <w:rsid w:val="00827C4B"/>
    <w:rsid w:val="0083571E"/>
    <w:rsid w:val="00885D3F"/>
    <w:rsid w:val="008866CD"/>
    <w:rsid w:val="008868D2"/>
    <w:rsid w:val="0089130B"/>
    <w:rsid w:val="00896244"/>
    <w:rsid w:val="008B2587"/>
    <w:rsid w:val="008B7717"/>
    <w:rsid w:val="008C5BE0"/>
    <w:rsid w:val="008C5E7D"/>
    <w:rsid w:val="008D6F7F"/>
    <w:rsid w:val="008E77E2"/>
    <w:rsid w:val="008F6936"/>
    <w:rsid w:val="00906329"/>
    <w:rsid w:val="0092043A"/>
    <w:rsid w:val="00934FF2"/>
    <w:rsid w:val="00940CF7"/>
    <w:rsid w:val="00964C89"/>
    <w:rsid w:val="00971806"/>
    <w:rsid w:val="00973C73"/>
    <w:rsid w:val="00981756"/>
    <w:rsid w:val="00984756"/>
    <w:rsid w:val="009906E1"/>
    <w:rsid w:val="009961D5"/>
    <w:rsid w:val="009C0802"/>
    <w:rsid w:val="009C43B0"/>
    <w:rsid w:val="009C627F"/>
    <w:rsid w:val="009E4488"/>
    <w:rsid w:val="009F6A06"/>
    <w:rsid w:val="00A01FAE"/>
    <w:rsid w:val="00A06708"/>
    <w:rsid w:val="00A13C2A"/>
    <w:rsid w:val="00A15546"/>
    <w:rsid w:val="00A41396"/>
    <w:rsid w:val="00A447C5"/>
    <w:rsid w:val="00A70A83"/>
    <w:rsid w:val="00A767DE"/>
    <w:rsid w:val="00A87E1F"/>
    <w:rsid w:val="00A934B0"/>
    <w:rsid w:val="00A96288"/>
    <w:rsid w:val="00AC2D26"/>
    <w:rsid w:val="00AE3D99"/>
    <w:rsid w:val="00AE408C"/>
    <w:rsid w:val="00AF34E3"/>
    <w:rsid w:val="00AF4453"/>
    <w:rsid w:val="00B27D1C"/>
    <w:rsid w:val="00B3464E"/>
    <w:rsid w:val="00B368C4"/>
    <w:rsid w:val="00B42811"/>
    <w:rsid w:val="00B8133F"/>
    <w:rsid w:val="00B86C54"/>
    <w:rsid w:val="00B96776"/>
    <w:rsid w:val="00B97C64"/>
    <w:rsid w:val="00BB256A"/>
    <w:rsid w:val="00BC19CD"/>
    <w:rsid w:val="00BC67A4"/>
    <w:rsid w:val="00BC719A"/>
    <w:rsid w:val="00BD018A"/>
    <w:rsid w:val="00BD702E"/>
    <w:rsid w:val="00BD738F"/>
    <w:rsid w:val="00BE56BE"/>
    <w:rsid w:val="00BF3F06"/>
    <w:rsid w:val="00C0113A"/>
    <w:rsid w:val="00C036F5"/>
    <w:rsid w:val="00C14DB3"/>
    <w:rsid w:val="00C208D3"/>
    <w:rsid w:val="00C267A4"/>
    <w:rsid w:val="00C66BE4"/>
    <w:rsid w:val="00C75F0C"/>
    <w:rsid w:val="00C809BF"/>
    <w:rsid w:val="00C83F00"/>
    <w:rsid w:val="00CB2636"/>
    <w:rsid w:val="00CD6D13"/>
    <w:rsid w:val="00D01AA7"/>
    <w:rsid w:val="00D054E9"/>
    <w:rsid w:val="00D1464F"/>
    <w:rsid w:val="00D2123D"/>
    <w:rsid w:val="00D40AA1"/>
    <w:rsid w:val="00D64384"/>
    <w:rsid w:val="00D64510"/>
    <w:rsid w:val="00D64994"/>
    <w:rsid w:val="00D67216"/>
    <w:rsid w:val="00D75CF3"/>
    <w:rsid w:val="00D76C47"/>
    <w:rsid w:val="00DF4051"/>
    <w:rsid w:val="00E15B9B"/>
    <w:rsid w:val="00E271C4"/>
    <w:rsid w:val="00E33AC2"/>
    <w:rsid w:val="00E36773"/>
    <w:rsid w:val="00E40A72"/>
    <w:rsid w:val="00E410C6"/>
    <w:rsid w:val="00E87836"/>
    <w:rsid w:val="00EA5090"/>
    <w:rsid w:val="00EA58EF"/>
    <w:rsid w:val="00EB00F0"/>
    <w:rsid w:val="00EB029C"/>
    <w:rsid w:val="00EB6BB5"/>
    <w:rsid w:val="00EC0AA4"/>
    <w:rsid w:val="00F21A86"/>
    <w:rsid w:val="00F37D00"/>
    <w:rsid w:val="00F84BAE"/>
    <w:rsid w:val="00FB6B68"/>
    <w:rsid w:val="00FD3F58"/>
    <w:rsid w:val="00FE02E1"/>
    <w:rsid w:val="00FF1B59"/>
    <w:rsid w:val="00FF4C44"/>
    <w:rsid w:val="00FF6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622038D"/>
  <w15:chartTrackingRefBased/>
  <w15:docId w15:val="{08048C90-99A9-451A-B5F8-F56132C3A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7AA0"/>
    <w:pPr>
      <w:spacing w:after="200" w:line="276" w:lineRule="auto"/>
    </w:pPr>
    <w:rPr>
      <w:rFonts w:ascii="Calibri" w:eastAsia="Calibri" w:hAnsi="Calibri" w:cs="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377AA0"/>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7AA0"/>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377AA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377AA0"/>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377AA0"/>
    <w:pPr>
      <w:numPr>
        <w:ilvl w:val="5"/>
      </w:numPr>
      <w:outlineLvl w:val="4"/>
    </w:pPr>
    <w:rPr>
      <w:sz w:val="22"/>
    </w:rPr>
  </w:style>
  <w:style w:type="paragraph" w:styleId="Heading7">
    <w:name w:val="heading 7"/>
    <w:basedOn w:val="Normal"/>
    <w:next w:val="Normal"/>
    <w:link w:val="Heading7Char"/>
    <w:uiPriority w:val="99"/>
    <w:qFormat/>
    <w:rsid w:val="00377AA0"/>
    <w:pPr>
      <w:keepNext/>
      <w:keepLines/>
      <w:numPr>
        <w:ilvl w:val="6"/>
        <w:numId w:val="1"/>
      </w:numPr>
      <w:spacing w:before="120" w:after="180" w:line="240" w:lineRule="auto"/>
      <w:outlineLvl w:val="6"/>
    </w:pPr>
    <w:rPr>
      <w:rFonts w:ascii="Arial" w:eastAsia="Times New Roman" w:hAnsi="Arial"/>
      <w:sz w:val="20"/>
      <w:szCs w:val="20"/>
    </w:rPr>
  </w:style>
  <w:style w:type="paragraph" w:styleId="Heading8">
    <w:name w:val="heading 8"/>
    <w:basedOn w:val="Heading1"/>
    <w:next w:val="Normal"/>
    <w:link w:val="Heading8Char"/>
    <w:uiPriority w:val="99"/>
    <w:qFormat/>
    <w:rsid w:val="00377AA0"/>
    <w:pPr>
      <w:numPr>
        <w:ilvl w:val="7"/>
      </w:numPr>
      <w:outlineLvl w:val="7"/>
    </w:pPr>
  </w:style>
  <w:style w:type="paragraph" w:styleId="Heading9">
    <w:name w:val="heading 9"/>
    <w:basedOn w:val="Heading8"/>
    <w:next w:val="Normal"/>
    <w:link w:val="Heading9Char"/>
    <w:uiPriority w:val="99"/>
    <w:qFormat/>
    <w:rsid w:val="00377A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rsid w:val="00377AA0"/>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77AA0"/>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9"/>
    <w:rsid w:val="00377AA0"/>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77AA0"/>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377AA0"/>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377AA0"/>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377AA0"/>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377AA0"/>
    <w:rPr>
      <w:rFonts w:ascii="Arial" w:eastAsia="Times New Roma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77AA0"/>
    <w:pPr>
      <w:widowControl w:val="0"/>
      <w:spacing w:after="0" w:line="240" w:lineRule="auto"/>
    </w:pPr>
    <w:rPr>
      <w:rFonts w:ascii="Arial" w:eastAsia="Times New Roma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377AA0"/>
    <w:rPr>
      <w:rFonts w:ascii="Arial" w:eastAsia="Times New Roman" w:hAnsi="Arial" w:cs="Times New Roman"/>
      <w:b/>
      <w:noProof/>
      <w:sz w:val="18"/>
      <w:szCs w:val="20"/>
    </w:rPr>
  </w:style>
  <w:style w:type="paragraph" w:styleId="Footer">
    <w:name w:val="footer"/>
    <w:basedOn w:val="Header"/>
    <w:link w:val="FooterChar"/>
    <w:uiPriority w:val="99"/>
    <w:rsid w:val="00377AA0"/>
    <w:pPr>
      <w:jc w:val="center"/>
    </w:pPr>
    <w:rPr>
      <w:i/>
    </w:rPr>
  </w:style>
  <w:style w:type="character" w:customStyle="1" w:styleId="FooterChar">
    <w:name w:val="Footer Char"/>
    <w:basedOn w:val="DefaultParagraphFont"/>
    <w:link w:val="Footer"/>
    <w:uiPriority w:val="99"/>
    <w:rsid w:val="00377AA0"/>
    <w:rPr>
      <w:rFonts w:ascii="Arial" w:eastAsia="Times New Roman" w:hAnsi="Arial" w:cs="Times New Roman"/>
      <w:b/>
      <w:i/>
      <w:noProof/>
      <w:sz w:val="18"/>
      <w:szCs w:val="20"/>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377AA0"/>
    <w:pPr>
      <w:spacing w:before="120" w:after="120"/>
    </w:pPr>
    <w:rPr>
      <w:rFonts w:eastAsia="MS Mincho"/>
      <w:b/>
    </w:rPr>
  </w:style>
  <w:style w:type="character" w:styleId="PageNumber">
    <w:name w:val="page number"/>
    <w:basedOn w:val="DefaultParagraphFont"/>
    <w:rsid w:val="00377AA0"/>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377AA0"/>
    <w:rPr>
      <w:rFonts w:ascii="Calibri" w:eastAsia="MS Mincho" w:hAnsi="Calibri" w:cs="Times New Roman"/>
      <w:b/>
      <w:lang w:val="en-GB"/>
    </w:rPr>
  </w:style>
  <w:style w:type="paragraph" w:styleId="ListParagraph">
    <w:name w:val="List Paragraph"/>
    <w:basedOn w:val="Normal"/>
    <w:uiPriority w:val="34"/>
    <w:qFormat/>
    <w:rsid w:val="007F23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810523">
      <w:bodyDiv w:val="1"/>
      <w:marLeft w:val="0"/>
      <w:marRight w:val="0"/>
      <w:marTop w:val="0"/>
      <w:marBottom w:val="0"/>
      <w:divBdr>
        <w:top w:val="none" w:sz="0" w:space="0" w:color="auto"/>
        <w:left w:val="none" w:sz="0" w:space="0" w:color="auto"/>
        <w:bottom w:val="none" w:sz="0" w:space="0" w:color="auto"/>
        <w:right w:val="none" w:sz="0" w:space="0" w:color="auto"/>
      </w:divBdr>
    </w:div>
    <w:div w:id="336268620">
      <w:bodyDiv w:val="1"/>
      <w:marLeft w:val="0"/>
      <w:marRight w:val="0"/>
      <w:marTop w:val="0"/>
      <w:marBottom w:val="0"/>
      <w:divBdr>
        <w:top w:val="none" w:sz="0" w:space="0" w:color="auto"/>
        <w:left w:val="none" w:sz="0" w:space="0" w:color="auto"/>
        <w:bottom w:val="none" w:sz="0" w:space="0" w:color="auto"/>
        <w:right w:val="none" w:sz="0" w:space="0" w:color="auto"/>
      </w:divBdr>
    </w:div>
    <w:div w:id="352657560">
      <w:bodyDiv w:val="1"/>
      <w:marLeft w:val="0"/>
      <w:marRight w:val="0"/>
      <w:marTop w:val="0"/>
      <w:marBottom w:val="0"/>
      <w:divBdr>
        <w:top w:val="none" w:sz="0" w:space="0" w:color="auto"/>
        <w:left w:val="none" w:sz="0" w:space="0" w:color="auto"/>
        <w:bottom w:val="none" w:sz="0" w:space="0" w:color="auto"/>
        <w:right w:val="none" w:sz="0" w:space="0" w:color="auto"/>
      </w:divBdr>
    </w:div>
    <w:div w:id="637691095">
      <w:bodyDiv w:val="1"/>
      <w:marLeft w:val="0"/>
      <w:marRight w:val="0"/>
      <w:marTop w:val="0"/>
      <w:marBottom w:val="0"/>
      <w:divBdr>
        <w:top w:val="none" w:sz="0" w:space="0" w:color="auto"/>
        <w:left w:val="none" w:sz="0" w:space="0" w:color="auto"/>
        <w:bottom w:val="none" w:sz="0" w:space="0" w:color="auto"/>
        <w:right w:val="none" w:sz="0" w:space="0" w:color="auto"/>
      </w:divBdr>
    </w:div>
    <w:div w:id="866140334">
      <w:bodyDiv w:val="1"/>
      <w:marLeft w:val="0"/>
      <w:marRight w:val="0"/>
      <w:marTop w:val="0"/>
      <w:marBottom w:val="0"/>
      <w:divBdr>
        <w:top w:val="none" w:sz="0" w:space="0" w:color="auto"/>
        <w:left w:val="none" w:sz="0" w:space="0" w:color="auto"/>
        <w:bottom w:val="none" w:sz="0" w:space="0" w:color="auto"/>
        <w:right w:val="none" w:sz="0" w:space="0" w:color="auto"/>
      </w:divBdr>
    </w:div>
    <w:div w:id="1072895246">
      <w:bodyDiv w:val="1"/>
      <w:marLeft w:val="0"/>
      <w:marRight w:val="0"/>
      <w:marTop w:val="0"/>
      <w:marBottom w:val="0"/>
      <w:divBdr>
        <w:top w:val="none" w:sz="0" w:space="0" w:color="auto"/>
        <w:left w:val="none" w:sz="0" w:space="0" w:color="auto"/>
        <w:bottom w:val="none" w:sz="0" w:space="0" w:color="auto"/>
        <w:right w:val="none" w:sz="0" w:space="0" w:color="auto"/>
      </w:divBdr>
    </w:div>
    <w:div w:id="1184904413">
      <w:bodyDiv w:val="1"/>
      <w:marLeft w:val="0"/>
      <w:marRight w:val="0"/>
      <w:marTop w:val="0"/>
      <w:marBottom w:val="0"/>
      <w:divBdr>
        <w:top w:val="none" w:sz="0" w:space="0" w:color="auto"/>
        <w:left w:val="none" w:sz="0" w:space="0" w:color="auto"/>
        <w:bottom w:val="none" w:sz="0" w:space="0" w:color="auto"/>
        <w:right w:val="none" w:sz="0" w:space="0" w:color="auto"/>
      </w:divBdr>
    </w:div>
    <w:div w:id="1384675303">
      <w:bodyDiv w:val="1"/>
      <w:marLeft w:val="0"/>
      <w:marRight w:val="0"/>
      <w:marTop w:val="0"/>
      <w:marBottom w:val="0"/>
      <w:divBdr>
        <w:top w:val="none" w:sz="0" w:space="0" w:color="auto"/>
        <w:left w:val="none" w:sz="0" w:space="0" w:color="auto"/>
        <w:bottom w:val="none" w:sz="0" w:space="0" w:color="auto"/>
        <w:right w:val="none" w:sz="0" w:space="0" w:color="auto"/>
      </w:divBdr>
    </w:div>
    <w:div w:id="1694187532">
      <w:bodyDiv w:val="1"/>
      <w:marLeft w:val="0"/>
      <w:marRight w:val="0"/>
      <w:marTop w:val="0"/>
      <w:marBottom w:val="0"/>
      <w:divBdr>
        <w:top w:val="none" w:sz="0" w:space="0" w:color="auto"/>
        <w:left w:val="none" w:sz="0" w:space="0" w:color="auto"/>
        <w:bottom w:val="none" w:sz="0" w:space="0" w:color="auto"/>
        <w:right w:val="none" w:sz="0" w:space="0" w:color="auto"/>
      </w:divBdr>
    </w:div>
    <w:div w:id="205770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1117</TotalTime>
  <Pages>6</Pages>
  <Words>1318</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Saswata Bhaumik</dc:creator>
  <cp:keywords/>
  <dc:description/>
  <cp:lastModifiedBy>Saswata Bhaumik</cp:lastModifiedBy>
  <cp:revision>194</cp:revision>
  <dcterms:created xsi:type="dcterms:W3CDTF">2018-01-15T16:38:00Z</dcterms:created>
  <dcterms:modified xsi:type="dcterms:W3CDTF">2018-02-16T12:54:00Z</dcterms:modified>
</cp:coreProperties>
</file>