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84</w:t>
      </w:r>
      <w:r w:rsidR="00BA6E4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97645" w:rsidRPr="00397645">
        <w:rPr>
          <w:rFonts w:ascii="Arial" w:eastAsia="SimSun" w:hAnsi="Arial" w:cs="Times New Roman"/>
          <w:b/>
          <w:bCs/>
          <w:sz w:val="24"/>
          <w:szCs w:val="20"/>
          <w:lang w:val="en-GB" w:eastAsia="zh-CN"/>
        </w:rPr>
        <w:t>1710712</w:t>
      </w:r>
    </w:p>
    <w:p w:rsidR="00841BCD" w:rsidRPr="00841BCD" w:rsidRDefault="00BA6E4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Dubrovnik</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Croatia, 9</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Pr>
          <w:rFonts w:ascii="Arial" w:eastAsia="SimSun" w:hAnsi="Arial" w:cs="Times New Roman"/>
          <w:b/>
          <w:sz w:val="24"/>
          <w:szCs w:val="20"/>
          <w:lang w:val="en-GB"/>
        </w:rPr>
        <w:t>3</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337B0" w:rsidRPr="00397645">
        <w:rPr>
          <w:rFonts w:ascii="Arial" w:eastAsia="Calibri" w:hAnsi="Arial" w:cs="Arial"/>
          <w:b/>
          <w:bCs/>
          <w:sz w:val="24"/>
          <w:lang w:val="en-GB"/>
        </w:rPr>
        <w:t>Network Based CRS Mitigation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87D63" w:rsidRPr="00397645">
        <w:rPr>
          <w:rFonts w:ascii="Arial" w:eastAsia="MS Mincho" w:hAnsi="Arial" w:cs="Arial"/>
          <w:b/>
          <w:bCs/>
          <w:sz w:val="24"/>
          <w:szCs w:val="20"/>
          <w:lang w:val="en-GB"/>
        </w:rPr>
        <w:t>8.28.2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7A3A11" w:rsidRDefault="007A3A1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the </w:t>
      </w:r>
      <w:r w:rsidR="00841BCD" w:rsidRPr="00841BCD">
        <w:rPr>
          <w:rFonts w:ascii="Times New Roman" w:eastAsia="Calibri" w:hAnsi="Times New Roman" w:cs="Times New Roman"/>
          <w:sz w:val="20"/>
          <w:szCs w:val="20"/>
          <w:lang w:val="en-GB"/>
        </w:rPr>
        <w:t>RAN</w:t>
      </w:r>
      <w:r w:rsidR="00BE21B7">
        <w:rPr>
          <w:rFonts w:ascii="Times New Roman" w:eastAsia="Calibri" w:hAnsi="Times New Roman" w:cs="Times New Roman"/>
          <w:sz w:val="20"/>
          <w:szCs w:val="20"/>
          <w:lang w:val="en-GB"/>
        </w:rPr>
        <w:t>4#84 meeting in Berlin WF [1</w:t>
      </w:r>
      <w:r>
        <w:rPr>
          <w:rFonts w:ascii="Times New Roman" w:eastAsia="Calibri" w:hAnsi="Times New Roman" w:cs="Times New Roman"/>
          <w:sz w:val="20"/>
          <w:szCs w:val="20"/>
          <w:lang w:val="en-GB"/>
        </w:rPr>
        <w:t>] was agreed. It captures some general aspect</w:t>
      </w:r>
      <w:r w:rsidR="00397645">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related to muting for both Idle mode and Connected mode. In this paper</w:t>
      </w:r>
      <w:r w:rsidR="00BE21B7">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look a bit further into the details when and how network muting can and </w:t>
      </w:r>
      <w:r w:rsidR="00BE21B7">
        <w:rPr>
          <w:rFonts w:ascii="Times New Roman" w:eastAsia="Calibri" w:hAnsi="Times New Roman" w:cs="Times New Roman"/>
          <w:sz w:val="20"/>
          <w:szCs w:val="20"/>
          <w:lang w:val="en-GB"/>
        </w:rPr>
        <w:t xml:space="preserve">may </w:t>
      </w:r>
      <w:r>
        <w:rPr>
          <w:rFonts w:ascii="Times New Roman" w:eastAsia="Calibri" w:hAnsi="Times New Roman" w:cs="Times New Roman"/>
          <w:sz w:val="20"/>
          <w:szCs w:val="20"/>
          <w:lang w:val="en-GB"/>
        </w:rPr>
        <w:t>be used and the requirements related to presence of full BW CRS for legacy devices.</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7A3A11" w:rsidP="003B659E">
      <w:pPr>
        <w:ind w:right="-22"/>
        <w:rPr>
          <w:rFonts w:ascii="Times New Roman" w:hAnsi="Times New Roman" w:cs="Times New Roman"/>
          <w:sz w:val="20"/>
        </w:rPr>
      </w:pPr>
      <w:r>
        <w:rPr>
          <w:rFonts w:ascii="Times New Roman" w:hAnsi="Times New Roman" w:cs="Times New Roman"/>
          <w:sz w:val="20"/>
        </w:rPr>
        <w:t xml:space="preserve">Initially we look at the general aspect of using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for limiting the UE neighbor cell measurement bandwidth. Idle mode requirements followed by Connected mode discussion.</w:t>
      </w:r>
    </w:p>
    <w:p w:rsidR="00BF5580" w:rsidRDefault="00BF5580" w:rsidP="003B659E">
      <w:pPr>
        <w:pStyle w:val="Heading2"/>
        <w:rPr>
          <w:lang w:val="en-US"/>
        </w:rPr>
      </w:pPr>
    </w:p>
    <w:p w:rsidR="007A3A11" w:rsidRDefault="007A3A11" w:rsidP="003B659E">
      <w:pPr>
        <w:pStyle w:val="Heading2"/>
        <w:rPr>
          <w:lang w:val="en-US"/>
        </w:rPr>
      </w:pPr>
      <w:r>
        <w:rPr>
          <w:lang w:val="en-US"/>
        </w:rPr>
        <w:t>2.</w:t>
      </w:r>
      <w:r w:rsidR="00B66235">
        <w:rPr>
          <w:lang w:val="en-US"/>
        </w:rPr>
        <w:t>1</w:t>
      </w:r>
      <w:r>
        <w:rPr>
          <w:lang w:val="en-US"/>
        </w:rPr>
        <w:t xml:space="preserve"> </w:t>
      </w:r>
      <w:proofErr w:type="spellStart"/>
      <w:r>
        <w:rPr>
          <w:lang w:val="en-US"/>
        </w:rPr>
        <w:t>AllowedMeasBandwidth</w:t>
      </w:r>
      <w:proofErr w:type="spellEnd"/>
    </w:p>
    <w:p w:rsidR="007A3A11" w:rsidRDefault="007A3A11" w:rsidP="007A3A11">
      <w:pPr>
        <w:rPr>
          <w:rFonts w:ascii="Times New Roman" w:hAnsi="Times New Roman" w:cs="Times New Roman"/>
          <w:sz w:val="20"/>
        </w:rPr>
      </w:pPr>
      <w:r>
        <w:rPr>
          <w:rFonts w:ascii="Times New Roman" w:hAnsi="Times New Roman" w:cs="Times New Roman"/>
          <w:sz w:val="20"/>
        </w:rPr>
        <w:t>This parameter can be set by the network to be applied by the UEs in both Idle mode and Connected mode.</w:t>
      </w:r>
      <w:r w:rsidR="000C72E3">
        <w:rPr>
          <w:rFonts w:ascii="Times New Roman" w:hAnsi="Times New Roman" w:cs="Times New Roman"/>
          <w:sz w:val="20"/>
        </w:rPr>
        <w:t xml:space="preserve"> The parameter </w:t>
      </w:r>
      <w:r w:rsidR="006605C5">
        <w:rPr>
          <w:rFonts w:ascii="Times New Roman" w:hAnsi="Times New Roman" w:cs="Times New Roman"/>
          <w:sz w:val="20"/>
        </w:rPr>
        <w:t>defines what the maximum measurement bandwidth the UE can use when measuring neighbor cells – either on serving carrier or neighbor carriers (separate settings for each carrier).</w:t>
      </w:r>
    </w:p>
    <w:p w:rsidR="006605C5" w:rsidRDefault="006605C5" w:rsidP="007A3A11">
      <w:pPr>
        <w:rPr>
          <w:rFonts w:ascii="Times New Roman" w:hAnsi="Times New Roman" w:cs="Times New Roman"/>
          <w:sz w:val="20"/>
        </w:rPr>
      </w:pPr>
      <w:r>
        <w:rPr>
          <w:rFonts w:ascii="Times New Roman" w:hAnsi="Times New Roman" w:cs="Times New Roman"/>
          <w:sz w:val="20"/>
        </w:rPr>
        <w:t>The parameter does not apply for serving cell. I.e. devices may measure serving cell using full bandwidth or not.</w:t>
      </w:r>
    </w:p>
    <w:p w:rsidR="00BF6D23" w:rsidRDefault="00356B6F" w:rsidP="007A3A11">
      <w:pPr>
        <w:rPr>
          <w:rFonts w:ascii="Times New Roman" w:hAnsi="Times New Roman" w:cs="Times New Roman"/>
          <w:sz w:val="20"/>
        </w:rPr>
      </w:pPr>
      <w:r>
        <w:rPr>
          <w:rFonts w:ascii="Times New Roman" w:hAnsi="Times New Roman" w:cs="Times New Roman"/>
          <w:sz w:val="20"/>
        </w:rPr>
        <w:t xml:space="preserve">However, the use of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has been possible since early releases of LTE including the serving cell restriction. I.e. we do not foresee any issue using this parameter to limit the UE neighbor measurement bandwidth and neither any issues regarding the potential comparison of measurement results between serving cell and neighbor cells when this parameter is used – as this is already supported by legacy devices.</w:t>
      </w:r>
    </w:p>
    <w:p w:rsidR="000415E6" w:rsidRDefault="002A4562" w:rsidP="007A3A11">
      <w:pPr>
        <w:rPr>
          <w:rFonts w:ascii="Times New Roman" w:hAnsi="Times New Roman" w:cs="Times New Roman"/>
          <w:sz w:val="20"/>
        </w:rPr>
      </w:pPr>
      <w:r>
        <w:rPr>
          <w:rFonts w:ascii="Times New Roman" w:hAnsi="Times New Roman" w:cs="Times New Roman"/>
          <w:sz w:val="20"/>
        </w:rPr>
        <w:t>However, as the UE may measure whenever, and there is no limitation in time domain or frequency domain, RAN4 would need to discuss impact from muting on serving cell</w:t>
      </w:r>
      <w:r w:rsidR="00397645">
        <w:rPr>
          <w:rFonts w:ascii="Times New Roman" w:hAnsi="Times New Roman" w:cs="Times New Roman"/>
          <w:sz w:val="20"/>
        </w:rPr>
        <w:t xml:space="preserve"> if the UE measuring wide bandwidth on serving cell</w:t>
      </w:r>
      <w:r>
        <w:rPr>
          <w:rFonts w:ascii="Times New Roman" w:hAnsi="Times New Roman" w:cs="Times New Roman"/>
          <w:sz w:val="20"/>
        </w:rPr>
        <w:t xml:space="preserve">. I.e. would there on legacy devices be any visible impact on the measured metric if the UE assumes measurement BW according to cell bandwidth while in fact </w:t>
      </w:r>
      <w:r w:rsidR="00397645">
        <w:rPr>
          <w:rFonts w:ascii="Times New Roman" w:hAnsi="Times New Roman" w:cs="Times New Roman"/>
          <w:sz w:val="20"/>
        </w:rPr>
        <w:t xml:space="preserve">the </w:t>
      </w:r>
      <w:r>
        <w:rPr>
          <w:rFonts w:ascii="Times New Roman" w:hAnsi="Times New Roman" w:cs="Times New Roman"/>
          <w:sz w:val="20"/>
        </w:rPr>
        <w:t>network is applying CRS muting?</w:t>
      </w:r>
    </w:p>
    <w:p w:rsidR="002A4562" w:rsidRPr="007A3A11" w:rsidRDefault="002A4562" w:rsidP="007A3A11">
      <w:r w:rsidRPr="002A4562">
        <w:rPr>
          <w:rFonts w:ascii="Times New Roman" w:hAnsi="Times New Roman" w:cs="Times New Roman"/>
          <w:b/>
          <w:sz w:val="20"/>
        </w:rPr>
        <w:t>Observation</w:t>
      </w:r>
      <w:r w:rsidR="00397645">
        <w:rPr>
          <w:rFonts w:ascii="Times New Roman" w:hAnsi="Times New Roman" w:cs="Times New Roman"/>
          <w:b/>
          <w:sz w:val="20"/>
        </w:rPr>
        <w:t xml:space="preserve"> 1</w:t>
      </w:r>
      <w:r w:rsidRPr="002A4562">
        <w:rPr>
          <w:rFonts w:ascii="Times New Roman" w:hAnsi="Times New Roman" w:cs="Times New Roman"/>
          <w:b/>
          <w:sz w:val="20"/>
        </w:rPr>
        <w:t>:</w:t>
      </w:r>
      <w:r>
        <w:rPr>
          <w:rFonts w:ascii="Times New Roman" w:hAnsi="Times New Roman" w:cs="Times New Roman"/>
          <w:sz w:val="20"/>
        </w:rPr>
        <w:t xml:space="preserve"> Impact from full BW measurement in serving cell while muting is applied</w:t>
      </w:r>
      <w:r w:rsidR="00397645">
        <w:rPr>
          <w:rFonts w:ascii="Times New Roman" w:hAnsi="Times New Roman" w:cs="Times New Roman"/>
          <w:sz w:val="20"/>
        </w:rPr>
        <w:t xml:space="preserve"> needs to discussed</w:t>
      </w:r>
      <w:r>
        <w:rPr>
          <w:rFonts w:ascii="Times New Roman" w:hAnsi="Times New Roman" w:cs="Times New Roman"/>
          <w:sz w:val="20"/>
        </w:rPr>
        <w:t>.</w:t>
      </w:r>
    </w:p>
    <w:p w:rsidR="00BF5580" w:rsidRDefault="00BF5580" w:rsidP="003B659E">
      <w:pPr>
        <w:pStyle w:val="Heading2"/>
        <w:rPr>
          <w:lang w:val="en-US"/>
        </w:rPr>
      </w:pPr>
    </w:p>
    <w:p w:rsidR="003B659E" w:rsidRDefault="007A3A11" w:rsidP="003B659E">
      <w:pPr>
        <w:pStyle w:val="Heading2"/>
        <w:rPr>
          <w:lang w:val="en-US"/>
        </w:rPr>
      </w:pPr>
      <w:r>
        <w:rPr>
          <w:lang w:val="en-US"/>
        </w:rPr>
        <w:t>2.</w:t>
      </w:r>
      <w:r w:rsidR="00B66235">
        <w:rPr>
          <w:lang w:val="en-US"/>
        </w:rPr>
        <w:t>2</w:t>
      </w:r>
      <w:r>
        <w:rPr>
          <w:lang w:val="en-US"/>
        </w:rPr>
        <w:t xml:space="preserve"> Idle mode</w:t>
      </w:r>
    </w:p>
    <w:p w:rsidR="003B659E" w:rsidRDefault="008D01BF" w:rsidP="003B659E">
      <w:pPr>
        <w:ind w:right="-22"/>
        <w:rPr>
          <w:rFonts w:ascii="Times New Roman" w:hAnsi="Times New Roman" w:cs="Times New Roman"/>
          <w:sz w:val="20"/>
        </w:rPr>
      </w:pPr>
      <w:r>
        <w:rPr>
          <w:rFonts w:ascii="Times New Roman" w:hAnsi="Times New Roman" w:cs="Times New Roman"/>
          <w:sz w:val="20"/>
        </w:rPr>
        <w:t>The WF [1] includes following for Idle mode:</w:t>
      </w:r>
    </w:p>
    <w:p w:rsidR="00105D5A" w:rsidRPr="00A516EC" w:rsidRDefault="002A4562" w:rsidP="002B4007">
      <w:pPr>
        <w:numPr>
          <w:ilvl w:val="0"/>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Full BW CRS shall be assumed during:</w:t>
      </w:r>
    </w:p>
    <w:p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All configured paging occasions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SI acquisition (SIB1 and SI-window)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RA procedure (at least partly), e.g.:</w:t>
      </w:r>
    </w:p>
    <w:p w:rsidR="00105D5A" w:rsidRPr="00A516EC" w:rsidRDefault="002A4562" w:rsidP="002B4007">
      <w:pPr>
        <w:numPr>
          <w:ilvl w:val="2"/>
          <w:numId w:val="3"/>
        </w:numPr>
        <w:spacing w:line="240" w:lineRule="auto"/>
        <w:ind w:right="-22"/>
        <w:rPr>
          <w:rFonts w:ascii="Times New Roman" w:hAnsi="Times New Roman" w:cs="Times New Roman"/>
          <w:sz w:val="20"/>
          <w:lang w:val="en-GB"/>
        </w:rPr>
      </w:pPr>
      <w:proofErr w:type="spellStart"/>
      <w:r w:rsidRPr="00A516EC">
        <w:rPr>
          <w:rFonts w:ascii="Times New Roman" w:hAnsi="Times New Roman" w:cs="Times New Roman"/>
          <w:sz w:val="20"/>
          <w:lang w:val="en-GB"/>
        </w:rPr>
        <w:lastRenderedPageBreak/>
        <w:t>Prio</w:t>
      </w:r>
      <w:proofErr w:type="spellEnd"/>
      <w:r w:rsidRPr="00A516EC">
        <w:rPr>
          <w:rFonts w:ascii="Times New Roman" w:hAnsi="Times New Roman" w:cs="Times New Roman"/>
          <w:sz w:val="20"/>
          <w:lang w:val="en-GB"/>
        </w:rPr>
        <w:t xml:space="preserve"> to RA transmission occasions, [TBD subframes]</w:t>
      </w:r>
    </w:p>
    <w:p w:rsidR="00105D5A" w:rsidRPr="00A516EC" w:rsidRDefault="002A4562" w:rsidP="002B4007">
      <w:pPr>
        <w:numPr>
          <w:ilvl w:val="2"/>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During Msg2 monitoring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w:t>
      </w:r>
    </w:p>
    <w:p w:rsidR="00105D5A" w:rsidRPr="00A516EC" w:rsidRDefault="002A4562" w:rsidP="002B4007">
      <w:pPr>
        <w:numPr>
          <w:ilvl w:val="2"/>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During Msg4 monitoring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w:t>
      </w:r>
    </w:p>
    <w:p w:rsidR="00105D5A" w:rsidRPr="00A516EC" w:rsidRDefault="002A4562" w:rsidP="002B4007">
      <w:pPr>
        <w:numPr>
          <w:ilvl w:val="0"/>
          <w:numId w:val="3"/>
        </w:numPr>
        <w:spacing w:line="240" w:lineRule="auto"/>
        <w:ind w:right="-22"/>
        <w:rPr>
          <w:rFonts w:ascii="Times New Roman" w:hAnsi="Times New Roman" w:cs="Times New Roman"/>
          <w:sz w:val="20"/>
          <w:lang w:val="en-GB"/>
        </w:rPr>
      </w:pPr>
      <w:proofErr w:type="spellStart"/>
      <w:r w:rsidRPr="00A516EC">
        <w:rPr>
          <w:rFonts w:ascii="Times New Roman" w:hAnsi="Times New Roman" w:cs="Times New Roman"/>
          <w:sz w:val="20"/>
          <w:lang w:val="en-GB"/>
        </w:rPr>
        <w:t>eDRX</w:t>
      </w:r>
      <w:proofErr w:type="spellEnd"/>
      <w:r w:rsidRPr="00A516EC">
        <w:rPr>
          <w:rFonts w:ascii="Times New Roman" w:hAnsi="Times New Roman" w:cs="Times New Roman"/>
          <w:sz w:val="20"/>
          <w:lang w:val="en-GB"/>
        </w:rPr>
        <w:t>:</w:t>
      </w:r>
    </w:p>
    <w:p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6 RB CRS may be assumed outside PTW (inside PTW is according to the above)</w:t>
      </w:r>
    </w:p>
    <w:p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FFS additional warm up before the PTW</w:t>
      </w:r>
    </w:p>
    <w:p w:rsidR="008D01BF" w:rsidRDefault="002B4007" w:rsidP="003B659E">
      <w:pPr>
        <w:ind w:right="-22"/>
        <w:rPr>
          <w:rFonts w:ascii="Times New Roman" w:hAnsi="Times New Roman" w:cs="Times New Roman"/>
          <w:sz w:val="20"/>
        </w:rPr>
      </w:pPr>
      <w:r>
        <w:rPr>
          <w:rFonts w:ascii="Times New Roman" w:hAnsi="Times New Roman" w:cs="Times New Roman"/>
          <w:sz w:val="20"/>
        </w:rPr>
        <w:t xml:space="preserve">From device point of view, this means that for each UE paging occasion and each SIB transmission from network side the UE </w:t>
      </w:r>
      <w:r w:rsidR="00A177AB">
        <w:rPr>
          <w:rFonts w:ascii="Times New Roman" w:hAnsi="Times New Roman" w:cs="Times New Roman"/>
          <w:sz w:val="20"/>
        </w:rPr>
        <w:t>should be able to</w:t>
      </w:r>
      <w:r>
        <w:rPr>
          <w:rFonts w:ascii="Times New Roman" w:hAnsi="Times New Roman" w:cs="Times New Roman"/>
          <w:sz w:val="20"/>
        </w:rPr>
        <w:t xml:space="preserve"> rely on full BW</w:t>
      </w:r>
      <w:r w:rsidR="00A177AB">
        <w:rPr>
          <w:rFonts w:ascii="Times New Roman" w:hAnsi="Times New Roman" w:cs="Times New Roman"/>
          <w:sz w:val="20"/>
        </w:rPr>
        <w:t xml:space="preserve"> CRS. In a similar manner, the UE should be able to rely on full BW CRS presence at each potential RA occasion. Once the network detects a preamble this would trigger network to transmit full BW CRS.</w:t>
      </w:r>
    </w:p>
    <w:p w:rsidR="00A177AB" w:rsidRDefault="00A177AB" w:rsidP="003B659E">
      <w:pPr>
        <w:ind w:right="-22"/>
        <w:rPr>
          <w:rFonts w:ascii="Times New Roman" w:hAnsi="Times New Roman" w:cs="Times New Roman"/>
          <w:sz w:val="20"/>
        </w:rPr>
      </w:pPr>
      <w:r>
        <w:rPr>
          <w:rFonts w:ascii="Times New Roman" w:hAnsi="Times New Roman" w:cs="Times New Roman"/>
          <w:sz w:val="20"/>
        </w:rPr>
        <w:t>For these procedures, what remains to be decided is the number of subframes prior to the paging, SIB and RA occasion the full BW CRS needs to be present.</w:t>
      </w:r>
    </w:p>
    <w:p w:rsidR="00F962EC" w:rsidRDefault="00F962EC" w:rsidP="003B659E">
      <w:pPr>
        <w:ind w:right="-22"/>
        <w:rPr>
          <w:rFonts w:ascii="Times New Roman" w:hAnsi="Times New Roman" w:cs="Times New Roman"/>
          <w:sz w:val="20"/>
        </w:rPr>
      </w:pPr>
      <w:r>
        <w:rPr>
          <w:rFonts w:ascii="Times New Roman" w:hAnsi="Times New Roman" w:cs="Times New Roman"/>
          <w:sz w:val="20"/>
        </w:rPr>
        <w:t xml:space="preserve">As for </w:t>
      </w:r>
      <w:proofErr w:type="spellStart"/>
      <w:r>
        <w:rPr>
          <w:rFonts w:ascii="Times New Roman" w:hAnsi="Times New Roman" w:cs="Times New Roman"/>
          <w:sz w:val="20"/>
        </w:rPr>
        <w:t>eDRX</w:t>
      </w:r>
      <w:proofErr w:type="spellEnd"/>
      <w:r w:rsidR="00236CD9">
        <w:rPr>
          <w:rFonts w:ascii="Times New Roman" w:hAnsi="Times New Roman" w:cs="Times New Roman"/>
          <w:sz w:val="20"/>
        </w:rPr>
        <w:t>,</w:t>
      </w:r>
      <w:r>
        <w:rPr>
          <w:rFonts w:ascii="Times New Roman" w:hAnsi="Times New Roman" w:cs="Times New Roman"/>
          <w:sz w:val="20"/>
        </w:rPr>
        <w:t xml:space="preserve"> it should be noticed that SIB reading and potential RACH transmission </w:t>
      </w:r>
      <w:r w:rsidR="004C7D8B">
        <w:rPr>
          <w:rFonts w:ascii="Times New Roman" w:hAnsi="Times New Roman" w:cs="Times New Roman"/>
          <w:sz w:val="20"/>
        </w:rPr>
        <w:t>are</w:t>
      </w:r>
      <w:r>
        <w:rPr>
          <w:rFonts w:ascii="Times New Roman" w:hAnsi="Times New Roman" w:cs="Times New Roman"/>
          <w:sz w:val="20"/>
        </w:rPr>
        <w:t xml:space="preserve"> not limited to </w:t>
      </w:r>
      <w:r w:rsidR="00B66235">
        <w:rPr>
          <w:rFonts w:ascii="Times New Roman" w:hAnsi="Times New Roman" w:cs="Times New Roman"/>
          <w:sz w:val="20"/>
        </w:rPr>
        <w:t xml:space="preserve">be done within the </w:t>
      </w:r>
      <w:r>
        <w:rPr>
          <w:rFonts w:ascii="Times New Roman" w:hAnsi="Times New Roman" w:cs="Times New Roman"/>
          <w:sz w:val="20"/>
        </w:rPr>
        <w:t>PTW</w:t>
      </w:r>
      <w:r w:rsidR="00B66235">
        <w:rPr>
          <w:rFonts w:ascii="Times New Roman" w:hAnsi="Times New Roman" w:cs="Times New Roman"/>
          <w:sz w:val="20"/>
        </w:rPr>
        <w:t>.</w:t>
      </w:r>
      <w:r>
        <w:rPr>
          <w:rFonts w:ascii="Times New Roman" w:hAnsi="Times New Roman" w:cs="Times New Roman"/>
          <w:sz w:val="20"/>
        </w:rPr>
        <w:t xml:space="preserve"> </w:t>
      </w:r>
      <w:r w:rsidR="00B66235">
        <w:rPr>
          <w:rFonts w:ascii="Times New Roman" w:hAnsi="Times New Roman" w:cs="Times New Roman"/>
          <w:sz w:val="20"/>
        </w:rPr>
        <w:t>This</w:t>
      </w:r>
      <w:r>
        <w:rPr>
          <w:rFonts w:ascii="Times New Roman" w:hAnsi="Times New Roman" w:cs="Times New Roman"/>
          <w:sz w:val="20"/>
        </w:rPr>
        <w:t xml:space="preserve"> means </w:t>
      </w:r>
      <w:r w:rsidR="00B66235">
        <w:rPr>
          <w:rFonts w:ascii="Times New Roman" w:hAnsi="Times New Roman" w:cs="Times New Roman"/>
          <w:sz w:val="20"/>
        </w:rPr>
        <w:t>that full BW CRS needs to be present for RA and SIB occasions independently from PTW.</w:t>
      </w:r>
    </w:p>
    <w:p w:rsidR="00A177AB" w:rsidRDefault="00397645" w:rsidP="003B659E">
      <w:pPr>
        <w:ind w:right="-22"/>
        <w:rPr>
          <w:rFonts w:ascii="Times New Roman" w:hAnsi="Times New Roman" w:cs="Times New Roman"/>
          <w:sz w:val="20"/>
        </w:rPr>
      </w:pPr>
      <w:r>
        <w:rPr>
          <w:rFonts w:ascii="Times New Roman" w:hAnsi="Times New Roman" w:cs="Times New Roman"/>
          <w:b/>
          <w:sz w:val="20"/>
        </w:rPr>
        <w:t>Observation 2</w:t>
      </w:r>
      <w:r w:rsidR="00B66235" w:rsidRPr="00B66235">
        <w:rPr>
          <w:rFonts w:ascii="Times New Roman" w:hAnsi="Times New Roman" w:cs="Times New Roman"/>
          <w:b/>
          <w:sz w:val="20"/>
        </w:rPr>
        <w:t>:</w:t>
      </w:r>
      <w:r w:rsidR="00B66235">
        <w:rPr>
          <w:rFonts w:ascii="Times New Roman" w:hAnsi="Times New Roman" w:cs="Times New Roman"/>
          <w:sz w:val="20"/>
        </w:rPr>
        <w:t xml:space="preserve"> Full BW CRS needs to be present for RA and SIB occasions independently from PTW.</w:t>
      </w:r>
    </w:p>
    <w:p w:rsidR="00BF5580" w:rsidRDefault="00BF5580" w:rsidP="00B66235">
      <w:pPr>
        <w:pStyle w:val="Heading2"/>
        <w:rPr>
          <w:lang w:val="en-US"/>
        </w:rPr>
      </w:pPr>
    </w:p>
    <w:p w:rsidR="00B66235" w:rsidRDefault="00B66235" w:rsidP="00B66235">
      <w:pPr>
        <w:pStyle w:val="Heading2"/>
        <w:rPr>
          <w:lang w:val="en-US"/>
        </w:rPr>
      </w:pPr>
      <w:r>
        <w:rPr>
          <w:lang w:val="en-US"/>
        </w:rPr>
        <w:t>2.2 Connected mode</w:t>
      </w:r>
    </w:p>
    <w:p w:rsidR="00236CD9" w:rsidRDefault="003E529C" w:rsidP="003B659E">
      <w:pPr>
        <w:ind w:right="-22"/>
        <w:rPr>
          <w:rFonts w:ascii="Times New Roman" w:hAnsi="Times New Roman" w:cs="Times New Roman"/>
          <w:sz w:val="20"/>
        </w:rPr>
      </w:pPr>
      <w:r>
        <w:rPr>
          <w:rFonts w:ascii="Times New Roman" w:hAnsi="Times New Roman" w:cs="Times New Roman"/>
          <w:sz w:val="20"/>
        </w:rPr>
        <w:t xml:space="preserve">In the WF [1] the very basic assumption was made – whenever any UE in the cell is not configured with DRX the network would need to transmit CRS in full BW as in legacy. </w:t>
      </w:r>
    </w:p>
    <w:p w:rsidR="003B659E" w:rsidRDefault="003E529C" w:rsidP="003B659E">
      <w:pPr>
        <w:ind w:right="-22"/>
        <w:rPr>
          <w:rFonts w:ascii="Times New Roman" w:hAnsi="Times New Roman" w:cs="Times New Roman"/>
          <w:sz w:val="20"/>
        </w:rPr>
      </w:pPr>
      <w:r>
        <w:rPr>
          <w:rFonts w:ascii="Times New Roman" w:hAnsi="Times New Roman" w:cs="Times New Roman"/>
          <w:sz w:val="20"/>
        </w:rPr>
        <w:t>Additionally, in the spirit of the discussion</w:t>
      </w:r>
      <w:r w:rsidR="00236CD9">
        <w:rPr>
          <w:rFonts w:ascii="Times New Roman" w:hAnsi="Times New Roman" w:cs="Times New Roman"/>
          <w:sz w:val="20"/>
        </w:rPr>
        <w:t>,</w:t>
      </w:r>
      <w:r>
        <w:rPr>
          <w:rFonts w:ascii="Times New Roman" w:hAnsi="Times New Roman" w:cs="Times New Roman"/>
          <w:sz w:val="20"/>
        </w:rPr>
        <w:t xml:space="preserve"> it was clear that the rule of worst case would need to be applied concerning wideband CRS: if there is a need for full BW CRS from any UE in the cell the network would need to transmit full BW CRS. The WF lists the currently identified occasions:</w:t>
      </w:r>
    </w:p>
    <w:p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UE Active Time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RA (at least partly)</w:t>
      </w:r>
    </w:p>
    <w:p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on-going retransmissions in UL and DL, in semi-persistently scheduled DL resources, in the resources with HARQ feedback</w:t>
      </w:r>
    </w:p>
    <w:p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SCell activation period and when the SCell is activated except for the SCell deactivation period</w:t>
      </w:r>
    </w:p>
    <w:p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RSTD: existing requirements apply, under full BW CRS in positioning subframes</w:t>
      </w:r>
    </w:p>
    <w:p w:rsidR="003E529C" w:rsidRDefault="005F7E74" w:rsidP="003B659E">
      <w:pPr>
        <w:ind w:right="-22"/>
        <w:rPr>
          <w:rFonts w:ascii="Times New Roman" w:hAnsi="Times New Roman" w:cs="Times New Roman"/>
          <w:sz w:val="20"/>
        </w:rPr>
      </w:pPr>
      <w:r>
        <w:rPr>
          <w:rFonts w:ascii="Times New Roman" w:hAnsi="Times New Roman" w:cs="Times New Roman"/>
          <w:sz w:val="20"/>
        </w:rPr>
        <w:t>Additionally, the UE may</w:t>
      </w:r>
      <w:r w:rsidR="00A516EC">
        <w:rPr>
          <w:rFonts w:ascii="Times New Roman" w:hAnsi="Times New Roman" w:cs="Times New Roman"/>
          <w:sz w:val="20"/>
        </w:rPr>
        <w:t xml:space="preserve"> also have to transmit SR, periodic CQI and SRS in UL. When these are scheduled for transmission is of course under network configuration. However, RAN4 would need to discuss any need for warm-up and cool down periods related to these transmissions.</w:t>
      </w:r>
      <w:r w:rsidR="009F2409">
        <w:rPr>
          <w:rFonts w:ascii="Times New Roman" w:hAnsi="Times New Roman" w:cs="Times New Roman"/>
          <w:sz w:val="20"/>
        </w:rPr>
        <w:t xml:space="preserve"> One can assume that the need for warm up period for these transmissions will be rather </w:t>
      </w:r>
      <w:proofErr w:type="gramStart"/>
      <w:r w:rsidR="009F2409">
        <w:rPr>
          <w:rFonts w:ascii="Times New Roman" w:hAnsi="Times New Roman" w:cs="Times New Roman"/>
          <w:sz w:val="20"/>
        </w:rPr>
        <w:t>similar to</w:t>
      </w:r>
      <w:proofErr w:type="gramEnd"/>
      <w:r w:rsidR="009F2409">
        <w:rPr>
          <w:rFonts w:ascii="Times New Roman" w:hAnsi="Times New Roman" w:cs="Times New Roman"/>
          <w:sz w:val="20"/>
        </w:rPr>
        <w:t xml:space="preserve"> those of RA preamble transmission.</w:t>
      </w:r>
    </w:p>
    <w:p w:rsidR="005F7E74" w:rsidRDefault="005F7E74" w:rsidP="003B659E">
      <w:pPr>
        <w:ind w:right="-22"/>
        <w:rPr>
          <w:rFonts w:ascii="Times New Roman" w:hAnsi="Times New Roman" w:cs="Times New Roman"/>
          <w:sz w:val="20"/>
        </w:rPr>
      </w:pPr>
      <w:r w:rsidRPr="005F7E74">
        <w:rPr>
          <w:rFonts w:ascii="Times New Roman" w:hAnsi="Times New Roman" w:cs="Times New Roman"/>
          <w:b/>
          <w:sz w:val="20"/>
        </w:rPr>
        <w:t xml:space="preserve">Observation </w:t>
      </w:r>
      <w:r w:rsidR="00397645">
        <w:rPr>
          <w:rFonts w:ascii="Times New Roman" w:hAnsi="Times New Roman" w:cs="Times New Roman"/>
          <w:b/>
          <w:sz w:val="20"/>
        </w:rPr>
        <w:t>3</w:t>
      </w:r>
      <w:r w:rsidRPr="005F7E74">
        <w:rPr>
          <w:rFonts w:ascii="Times New Roman" w:hAnsi="Times New Roman" w:cs="Times New Roman"/>
          <w:b/>
          <w:sz w:val="20"/>
        </w:rPr>
        <w:t>:</w:t>
      </w:r>
      <w:r>
        <w:rPr>
          <w:rFonts w:ascii="Times New Roman" w:hAnsi="Times New Roman" w:cs="Times New Roman"/>
          <w:sz w:val="20"/>
        </w:rPr>
        <w:t xml:space="preserve"> The UE may also have to transmit SR, periodic CQI and SRS in UL.</w:t>
      </w:r>
    </w:p>
    <w:p w:rsidR="005F7E74" w:rsidRDefault="005F7E74" w:rsidP="003B659E">
      <w:pPr>
        <w:ind w:right="-22"/>
        <w:rPr>
          <w:rFonts w:ascii="Times New Roman" w:hAnsi="Times New Roman" w:cs="Times New Roman"/>
          <w:sz w:val="20"/>
        </w:rPr>
      </w:pPr>
      <w:r w:rsidRPr="005F7E74">
        <w:rPr>
          <w:rFonts w:ascii="Times New Roman" w:hAnsi="Times New Roman" w:cs="Times New Roman"/>
          <w:b/>
          <w:sz w:val="20"/>
        </w:rPr>
        <w:t xml:space="preserve">Observation </w:t>
      </w:r>
      <w:r w:rsidR="00397645">
        <w:rPr>
          <w:rFonts w:ascii="Times New Roman" w:hAnsi="Times New Roman" w:cs="Times New Roman"/>
          <w:b/>
          <w:sz w:val="20"/>
        </w:rPr>
        <w:t>4</w:t>
      </w:r>
      <w:r w:rsidRPr="005F7E74">
        <w:rPr>
          <w:rFonts w:ascii="Times New Roman" w:hAnsi="Times New Roman" w:cs="Times New Roman"/>
          <w:b/>
          <w:sz w:val="20"/>
        </w:rPr>
        <w:t>:</w:t>
      </w:r>
      <w:r>
        <w:rPr>
          <w:rFonts w:ascii="Times New Roman" w:hAnsi="Times New Roman" w:cs="Times New Roman"/>
          <w:sz w:val="20"/>
        </w:rPr>
        <w:t xml:space="preserve"> RAN4 would need to discuss warm-up and cool down periods related to these transmissions.</w:t>
      </w:r>
    </w:p>
    <w:p w:rsidR="003B659E" w:rsidRDefault="009F2409" w:rsidP="003B659E">
      <w:pPr>
        <w:ind w:right="-22"/>
        <w:rPr>
          <w:rFonts w:ascii="Times New Roman" w:hAnsi="Times New Roman" w:cs="Times New Roman"/>
          <w:sz w:val="20"/>
        </w:rPr>
      </w:pPr>
      <w:r>
        <w:rPr>
          <w:rFonts w:ascii="Times New Roman" w:hAnsi="Times New Roman" w:cs="Times New Roman"/>
          <w:sz w:val="20"/>
        </w:rPr>
        <w:t>When discussing CRS mitigation</w:t>
      </w:r>
      <w:r w:rsidR="00155CA3">
        <w:rPr>
          <w:rFonts w:ascii="Times New Roman" w:hAnsi="Times New Roman" w:cs="Times New Roman"/>
          <w:sz w:val="20"/>
        </w:rPr>
        <w:t>,</w:t>
      </w:r>
      <w:r>
        <w:rPr>
          <w:rFonts w:ascii="Times New Roman" w:hAnsi="Times New Roman" w:cs="Times New Roman"/>
          <w:sz w:val="20"/>
        </w:rPr>
        <w:t xml:space="preserve"> the discussion has mostly been focused on serving cell. When in CA any activated SCell (and </w:t>
      </w:r>
      <w:proofErr w:type="spellStart"/>
      <w:r>
        <w:rPr>
          <w:rFonts w:ascii="Times New Roman" w:hAnsi="Times New Roman" w:cs="Times New Roman"/>
          <w:sz w:val="20"/>
        </w:rPr>
        <w:t>PSCell</w:t>
      </w:r>
      <w:proofErr w:type="spellEnd"/>
      <w:r>
        <w:rPr>
          <w:rFonts w:ascii="Times New Roman" w:hAnsi="Times New Roman" w:cs="Times New Roman"/>
          <w:sz w:val="20"/>
        </w:rPr>
        <w:t xml:space="preserve">) </w:t>
      </w:r>
      <w:r w:rsidR="00155CA3">
        <w:rPr>
          <w:rFonts w:ascii="Times New Roman" w:hAnsi="Times New Roman" w:cs="Times New Roman"/>
          <w:sz w:val="20"/>
        </w:rPr>
        <w:t xml:space="preserve">will be a serving cell. This means </w:t>
      </w:r>
      <w:r w:rsidR="00236CD9">
        <w:rPr>
          <w:rFonts w:ascii="Times New Roman" w:hAnsi="Times New Roman" w:cs="Times New Roman"/>
          <w:sz w:val="20"/>
        </w:rPr>
        <w:t xml:space="preserve">that </w:t>
      </w:r>
      <w:r w:rsidR="00155CA3">
        <w:rPr>
          <w:rFonts w:ascii="Times New Roman" w:hAnsi="Times New Roman" w:cs="Times New Roman"/>
          <w:sz w:val="20"/>
        </w:rPr>
        <w:t xml:space="preserve">all rules discussed so far concerning need for WB CRS would need to be applied for any activated SCell and </w:t>
      </w:r>
      <w:r w:rsidR="00236CD9">
        <w:rPr>
          <w:rFonts w:ascii="Times New Roman" w:hAnsi="Times New Roman" w:cs="Times New Roman"/>
          <w:sz w:val="20"/>
        </w:rPr>
        <w:t xml:space="preserve">the </w:t>
      </w:r>
      <w:proofErr w:type="spellStart"/>
      <w:r w:rsidR="00155CA3">
        <w:rPr>
          <w:rFonts w:ascii="Times New Roman" w:hAnsi="Times New Roman" w:cs="Times New Roman"/>
          <w:sz w:val="20"/>
        </w:rPr>
        <w:t>PSCell</w:t>
      </w:r>
      <w:proofErr w:type="spellEnd"/>
      <w:r w:rsidR="00155CA3">
        <w:rPr>
          <w:rFonts w:ascii="Times New Roman" w:hAnsi="Times New Roman" w:cs="Times New Roman"/>
          <w:sz w:val="20"/>
        </w:rPr>
        <w:t>.</w:t>
      </w:r>
    </w:p>
    <w:p w:rsidR="00155CA3" w:rsidRDefault="00155CA3" w:rsidP="003B659E">
      <w:pPr>
        <w:ind w:right="-22"/>
        <w:rPr>
          <w:rFonts w:ascii="Times New Roman" w:hAnsi="Times New Roman" w:cs="Times New Roman"/>
          <w:sz w:val="20"/>
        </w:rPr>
      </w:pPr>
      <w:r>
        <w:rPr>
          <w:rFonts w:ascii="Times New Roman" w:hAnsi="Times New Roman" w:cs="Times New Roman"/>
          <w:sz w:val="20"/>
        </w:rPr>
        <w:t xml:space="preserve">Not activated </w:t>
      </w:r>
      <w:proofErr w:type="spellStart"/>
      <w:r>
        <w:rPr>
          <w:rFonts w:ascii="Times New Roman" w:hAnsi="Times New Roman" w:cs="Times New Roman"/>
          <w:sz w:val="20"/>
        </w:rPr>
        <w:t>SCells</w:t>
      </w:r>
      <w:proofErr w:type="spellEnd"/>
      <w:r>
        <w:rPr>
          <w:rFonts w:ascii="Times New Roman" w:hAnsi="Times New Roman" w:cs="Times New Roman"/>
          <w:sz w:val="20"/>
        </w:rPr>
        <w:t xml:space="preserve"> are on the hand not defined as serving cells</w:t>
      </w:r>
      <w:r w:rsidR="00932FA6">
        <w:rPr>
          <w:rFonts w:ascii="Times New Roman" w:hAnsi="Times New Roman" w:cs="Times New Roman"/>
          <w:sz w:val="20"/>
        </w:rPr>
        <w:t xml:space="preserve">. I.e. such cell would be regarded as neighbor </w:t>
      </w:r>
      <w:r w:rsidR="00BD2B0E">
        <w:rPr>
          <w:rFonts w:ascii="Times New Roman" w:hAnsi="Times New Roman" w:cs="Times New Roman"/>
          <w:sz w:val="20"/>
        </w:rPr>
        <w:t>cells.</w:t>
      </w:r>
    </w:p>
    <w:p w:rsidR="00BD2B0E" w:rsidRDefault="00BD2B0E" w:rsidP="003B659E">
      <w:pPr>
        <w:ind w:right="-22"/>
        <w:rPr>
          <w:rFonts w:ascii="Times New Roman" w:hAnsi="Times New Roman" w:cs="Times New Roman"/>
          <w:sz w:val="20"/>
        </w:rPr>
      </w:pPr>
      <w:r w:rsidRPr="00BD2B0E">
        <w:rPr>
          <w:rFonts w:ascii="Times New Roman" w:hAnsi="Times New Roman" w:cs="Times New Roman"/>
          <w:b/>
          <w:sz w:val="20"/>
        </w:rPr>
        <w:t xml:space="preserve">Observation </w:t>
      </w:r>
      <w:r w:rsidR="00397645">
        <w:rPr>
          <w:rFonts w:ascii="Times New Roman" w:hAnsi="Times New Roman" w:cs="Times New Roman"/>
          <w:b/>
          <w:sz w:val="20"/>
        </w:rPr>
        <w:t>5</w:t>
      </w:r>
      <w:r w:rsidRPr="00BD2B0E">
        <w:rPr>
          <w:rFonts w:ascii="Times New Roman" w:hAnsi="Times New Roman" w:cs="Times New Roman"/>
          <w:b/>
          <w:sz w:val="20"/>
        </w:rPr>
        <w:t>:</w:t>
      </w:r>
      <w:r>
        <w:rPr>
          <w:rFonts w:ascii="Times New Roman" w:hAnsi="Times New Roman" w:cs="Times New Roman"/>
          <w:sz w:val="20"/>
        </w:rPr>
        <w:t xml:space="preserve"> </w:t>
      </w:r>
      <w:r w:rsidR="00236CD9">
        <w:rPr>
          <w:rFonts w:ascii="Times New Roman" w:hAnsi="Times New Roman" w:cs="Times New Roman"/>
          <w:sz w:val="20"/>
        </w:rPr>
        <w:t>De-</w:t>
      </w:r>
      <w:r>
        <w:rPr>
          <w:rFonts w:ascii="Times New Roman" w:hAnsi="Times New Roman" w:cs="Times New Roman"/>
          <w:sz w:val="20"/>
        </w:rPr>
        <w:t xml:space="preserve">activated </w:t>
      </w:r>
      <w:proofErr w:type="spellStart"/>
      <w:r>
        <w:rPr>
          <w:rFonts w:ascii="Times New Roman" w:hAnsi="Times New Roman" w:cs="Times New Roman"/>
          <w:sz w:val="20"/>
        </w:rPr>
        <w:t>SCells</w:t>
      </w:r>
      <w:proofErr w:type="spellEnd"/>
      <w:r>
        <w:rPr>
          <w:rFonts w:ascii="Times New Roman" w:hAnsi="Times New Roman" w:cs="Times New Roman"/>
          <w:sz w:val="20"/>
        </w:rPr>
        <w:t xml:space="preserve"> are</w:t>
      </w:r>
      <w:r w:rsidRPr="00BD2B0E">
        <w:rPr>
          <w:rFonts w:ascii="Times New Roman" w:hAnsi="Times New Roman" w:cs="Times New Roman"/>
          <w:sz w:val="20"/>
        </w:rPr>
        <w:t xml:space="preserve"> </w:t>
      </w:r>
      <w:r>
        <w:rPr>
          <w:rFonts w:ascii="Times New Roman" w:hAnsi="Times New Roman" w:cs="Times New Roman"/>
          <w:sz w:val="20"/>
        </w:rPr>
        <w:t>regarded as neighbor cells.</w:t>
      </w:r>
    </w:p>
    <w:p w:rsidR="003B659E" w:rsidRDefault="00BD2B0E" w:rsidP="003B659E">
      <w:pPr>
        <w:ind w:right="-22"/>
        <w:rPr>
          <w:rFonts w:ascii="Times New Roman" w:hAnsi="Times New Roman" w:cs="Times New Roman"/>
          <w:sz w:val="20"/>
        </w:rPr>
      </w:pPr>
      <w:r>
        <w:rPr>
          <w:rFonts w:ascii="Times New Roman" w:hAnsi="Times New Roman" w:cs="Times New Roman"/>
          <w:sz w:val="20"/>
        </w:rPr>
        <w:lastRenderedPageBreak/>
        <w:t xml:space="preserve">As neighbor cells are measured accounting the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parameter setting, it is possible to use the parameter to enable narrow band CRS transmission on </w:t>
      </w:r>
      <w:r w:rsidR="00236CD9">
        <w:rPr>
          <w:rFonts w:ascii="Times New Roman" w:hAnsi="Times New Roman" w:cs="Times New Roman"/>
          <w:sz w:val="20"/>
        </w:rPr>
        <w:t>de-</w:t>
      </w:r>
      <w:r>
        <w:rPr>
          <w:rFonts w:ascii="Times New Roman" w:hAnsi="Times New Roman" w:cs="Times New Roman"/>
          <w:sz w:val="20"/>
        </w:rPr>
        <w:t>activated SCell. Once the S</w:t>
      </w:r>
      <w:r w:rsidR="00236CD9">
        <w:rPr>
          <w:rFonts w:ascii="Times New Roman" w:hAnsi="Times New Roman" w:cs="Times New Roman"/>
          <w:sz w:val="20"/>
        </w:rPr>
        <w:t>C</w:t>
      </w:r>
      <w:r>
        <w:rPr>
          <w:rFonts w:ascii="Times New Roman" w:hAnsi="Times New Roman" w:cs="Times New Roman"/>
          <w:sz w:val="20"/>
        </w:rPr>
        <w:t xml:space="preserve">ell </w:t>
      </w:r>
      <w:r w:rsidR="00236CD9">
        <w:rPr>
          <w:rFonts w:ascii="Times New Roman" w:hAnsi="Times New Roman" w:cs="Times New Roman"/>
          <w:sz w:val="20"/>
        </w:rPr>
        <w:t>i</w:t>
      </w:r>
      <w:r>
        <w:rPr>
          <w:rFonts w:ascii="Times New Roman" w:hAnsi="Times New Roman" w:cs="Times New Roman"/>
          <w:sz w:val="20"/>
        </w:rPr>
        <w:t>s activated serving cell rules for CRS transmission would apply.</w:t>
      </w:r>
    </w:p>
    <w:p w:rsidR="00BD2B0E" w:rsidRDefault="00BD2B0E" w:rsidP="003B659E">
      <w:pPr>
        <w:ind w:right="-22"/>
        <w:rPr>
          <w:rFonts w:ascii="Times New Roman" w:hAnsi="Times New Roman" w:cs="Times New Roman"/>
          <w:sz w:val="20"/>
        </w:rPr>
      </w:pPr>
      <w:r w:rsidRPr="00B01456">
        <w:rPr>
          <w:rFonts w:ascii="Times New Roman" w:hAnsi="Times New Roman" w:cs="Times New Roman"/>
          <w:b/>
          <w:sz w:val="20"/>
        </w:rPr>
        <w:t xml:space="preserve">Observation </w:t>
      </w:r>
      <w:r w:rsidR="00397645">
        <w:rPr>
          <w:rFonts w:ascii="Times New Roman" w:hAnsi="Times New Roman" w:cs="Times New Roman"/>
          <w:b/>
          <w:sz w:val="20"/>
        </w:rPr>
        <w:t>6</w:t>
      </w:r>
      <w:r w:rsidRPr="00B01456">
        <w:rPr>
          <w:rFonts w:ascii="Times New Roman" w:hAnsi="Times New Roman" w:cs="Times New Roman"/>
          <w:b/>
          <w:sz w:val="20"/>
        </w:rPr>
        <w:t>:</w:t>
      </w:r>
      <w:r>
        <w:rPr>
          <w:rFonts w:ascii="Times New Roman" w:hAnsi="Times New Roman" w:cs="Times New Roman"/>
          <w:sz w:val="20"/>
        </w:rPr>
        <w:t xml:space="preserve">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parameter is applicable also </w:t>
      </w:r>
      <w:r w:rsidR="00BB3015">
        <w:rPr>
          <w:rFonts w:ascii="Times New Roman" w:hAnsi="Times New Roman" w:cs="Times New Roman"/>
          <w:sz w:val="20"/>
        </w:rPr>
        <w:t>for de-</w:t>
      </w:r>
      <w:r>
        <w:rPr>
          <w:rFonts w:ascii="Times New Roman" w:hAnsi="Times New Roman" w:cs="Times New Roman"/>
          <w:sz w:val="20"/>
        </w:rPr>
        <w:t>activated SCell.</w:t>
      </w:r>
    </w:p>
    <w:p w:rsidR="00BE21B7" w:rsidRDefault="00BE21B7" w:rsidP="003B659E">
      <w:pPr>
        <w:ind w:right="-22"/>
        <w:rPr>
          <w:rFonts w:ascii="Times New Roman" w:hAnsi="Times New Roman" w:cs="Times New Roman"/>
          <w:sz w:val="20"/>
        </w:rPr>
      </w:pPr>
    </w:p>
    <w:p w:rsidR="00BE21B7" w:rsidRPr="0095295C" w:rsidRDefault="00BE21B7" w:rsidP="00BE21B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BE21B7" w:rsidRDefault="00BE21B7"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w:t>
      </w:r>
      <w:proofErr w:type="gramStart"/>
      <w:r>
        <w:rPr>
          <w:rFonts w:ascii="Times New Roman" w:eastAsia="Calibri" w:hAnsi="Times New Roman" w:cs="Times New Roman"/>
          <w:sz w:val="20"/>
          <w:szCs w:val="20"/>
          <w:lang w:val="en-GB"/>
        </w:rPr>
        <w:t>took a look</w:t>
      </w:r>
      <w:proofErr w:type="gramEnd"/>
      <w:r>
        <w:rPr>
          <w:rFonts w:ascii="Times New Roman" w:eastAsia="Calibri" w:hAnsi="Times New Roman" w:cs="Times New Roman"/>
          <w:sz w:val="20"/>
          <w:szCs w:val="20"/>
          <w:lang w:val="en-GB"/>
        </w:rPr>
        <w:t xml:space="preserve"> into the further details when and how network muting can and may be used and the requirements related to presence of full BW CRS for legacy devices. We observe:</w:t>
      </w:r>
    </w:p>
    <w:p w:rsidR="00397645" w:rsidRPr="007A3A11" w:rsidRDefault="00397645" w:rsidP="00397645">
      <w:r w:rsidRPr="002A4562">
        <w:rPr>
          <w:rFonts w:ascii="Times New Roman" w:hAnsi="Times New Roman" w:cs="Times New Roman"/>
          <w:b/>
          <w:sz w:val="20"/>
        </w:rPr>
        <w:t>Observation</w:t>
      </w:r>
      <w:r>
        <w:rPr>
          <w:rFonts w:ascii="Times New Roman" w:hAnsi="Times New Roman" w:cs="Times New Roman"/>
          <w:b/>
          <w:sz w:val="20"/>
        </w:rPr>
        <w:t xml:space="preserve"> 1</w:t>
      </w:r>
      <w:r w:rsidRPr="002A4562">
        <w:rPr>
          <w:rFonts w:ascii="Times New Roman" w:hAnsi="Times New Roman" w:cs="Times New Roman"/>
          <w:b/>
          <w:sz w:val="20"/>
        </w:rPr>
        <w:t>:</w:t>
      </w:r>
      <w:r>
        <w:rPr>
          <w:rFonts w:ascii="Times New Roman" w:hAnsi="Times New Roman" w:cs="Times New Roman"/>
          <w:sz w:val="20"/>
        </w:rPr>
        <w:t xml:space="preserve"> Impact from full BW measurement in serving cell while muting is applied needs to discussed.</w:t>
      </w:r>
    </w:p>
    <w:p w:rsidR="00BE21B7" w:rsidRDefault="00BE21B7" w:rsidP="00BE21B7">
      <w:pPr>
        <w:ind w:right="-22"/>
        <w:rPr>
          <w:rFonts w:ascii="Times New Roman" w:hAnsi="Times New Roman" w:cs="Times New Roman"/>
          <w:sz w:val="20"/>
        </w:rPr>
      </w:pPr>
      <w:r w:rsidRPr="00B66235">
        <w:rPr>
          <w:rFonts w:ascii="Times New Roman" w:hAnsi="Times New Roman" w:cs="Times New Roman"/>
          <w:b/>
          <w:sz w:val="20"/>
        </w:rPr>
        <w:t xml:space="preserve">Observation </w:t>
      </w:r>
      <w:r w:rsidR="00397645">
        <w:rPr>
          <w:rFonts w:ascii="Times New Roman" w:hAnsi="Times New Roman" w:cs="Times New Roman"/>
          <w:b/>
          <w:sz w:val="20"/>
        </w:rPr>
        <w:t>2</w:t>
      </w:r>
      <w:r w:rsidRPr="00B66235">
        <w:rPr>
          <w:rFonts w:ascii="Times New Roman" w:hAnsi="Times New Roman" w:cs="Times New Roman"/>
          <w:b/>
          <w:sz w:val="20"/>
        </w:rPr>
        <w:t>:</w:t>
      </w:r>
      <w:r>
        <w:rPr>
          <w:rFonts w:ascii="Times New Roman" w:hAnsi="Times New Roman" w:cs="Times New Roman"/>
          <w:sz w:val="20"/>
        </w:rPr>
        <w:t xml:space="preserve"> Full BW CRS needs to be present for RA and SIB occasions independently from PTW.</w:t>
      </w:r>
    </w:p>
    <w:p w:rsidR="00BE21B7" w:rsidRDefault="00BE21B7" w:rsidP="00BE21B7">
      <w:pPr>
        <w:ind w:right="-22"/>
        <w:rPr>
          <w:rFonts w:ascii="Times New Roman" w:hAnsi="Times New Roman" w:cs="Times New Roman"/>
          <w:sz w:val="20"/>
        </w:rPr>
      </w:pPr>
      <w:r w:rsidRPr="005F7E74">
        <w:rPr>
          <w:rFonts w:ascii="Times New Roman" w:hAnsi="Times New Roman" w:cs="Times New Roman"/>
          <w:b/>
          <w:sz w:val="20"/>
        </w:rPr>
        <w:t xml:space="preserve">Observation </w:t>
      </w:r>
      <w:r w:rsidR="00397645">
        <w:rPr>
          <w:rFonts w:ascii="Times New Roman" w:hAnsi="Times New Roman" w:cs="Times New Roman"/>
          <w:b/>
          <w:sz w:val="20"/>
        </w:rPr>
        <w:t>3</w:t>
      </w:r>
      <w:r w:rsidRPr="005F7E74">
        <w:rPr>
          <w:rFonts w:ascii="Times New Roman" w:hAnsi="Times New Roman" w:cs="Times New Roman"/>
          <w:b/>
          <w:sz w:val="20"/>
        </w:rPr>
        <w:t>:</w:t>
      </w:r>
      <w:r>
        <w:rPr>
          <w:rFonts w:ascii="Times New Roman" w:hAnsi="Times New Roman" w:cs="Times New Roman"/>
          <w:sz w:val="20"/>
        </w:rPr>
        <w:t xml:space="preserve"> The UE may also have to transmit SR, periodic CQI and SRS in UL.</w:t>
      </w:r>
    </w:p>
    <w:p w:rsidR="00BE21B7" w:rsidRDefault="00BE21B7" w:rsidP="00BE21B7">
      <w:pPr>
        <w:ind w:right="-22"/>
        <w:rPr>
          <w:rFonts w:ascii="Times New Roman" w:hAnsi="Times New Roman" w:cs="Times New Roman"/>
          <w:sz w:val="20"/>
        </w:rPr>
      </w:pPr>
      <w:r w:rsidRPr="005F7E74">
        <w:rPr>
          <w:rFonts w:ascii="Times New Roman" w:hAnsi="Times New Roman" w:cs="Times New Roman"/>
          <w:b/>
          <w:sz w:val="20"/>
        </w:rPr>
        <w:t xml:space="preserve">Observation </w:t>
      </w:r>
      <w:r w:rsidR="00397645">
        <w:rPr>
          <w:rFonts w:ascii="Times New Roman" w:hAnsi="Times New Roman" w:cs="Times New Roman"/>
          <w:b/>
          <w:sz w:val="20"/>
        </w:rPr>
        <w:t>4</w:t>
      </w:r>
      <w:r w:rsidRPr="005F7E74">
        <w:rPr>
          <w:rFonts w:ascii="Times New Roman" w:hAnsi="Times New Roman" w:cs="Times New Roman"/>
          <w:b/>
          <w:sz w:val="20"/>
        </w:rPr>
        <w:t>:</w:t>
      </w:r>
      <w:r>
        <w:rPr>
          <w:rFonts w:ascii="Times New Roman" w:hAnsi="Times New Roman" w:cs="Times New Roman"/>
          <w:sz w:val="20"/>
        </w:rPr>
        <w:t xml:space="preserve"> RAN4 would need to discuss warm-up and cool down periods related to these transmissions.</w:t>
      </w:r>
    </w:p>
    <w:p w:rsidR="00BB3015" w:rsidRDefault="00BB3015" w:rsidP="00BB3015">
      <w:pPr>
        <w:ind w:right="-22"/>
        <w:rPr>
          <w:rFonts w:ascii="Times New Roman" w:hAnsi="Times New Roman" w:cs="Times New Roman"/>
          <w:sz w:val="20"/>
        </w:rPr>
      </w:pPr>
      <w:r w:rsidRPr="00BD2B0E">
        <w:rPr>
          <w:rFonts w:ascii="Times New Roman" w:hAnsi="Times New Roman" w:cs="Times New Roman"/>
          <w:b/>
          <w:sz w:val="20"/>
        </w:rPr>
        <w:t xml:space="preserve">Observation </w:t>
      </w:r>
      <w:r w:rsidR="00397645">
        <w:rPr>
          <w:rFonts w:ascii="Times New Roman" w:hAnsi="Times New Roman" w:cs="Times New Roman"/>
          <w:b/>
          <w:sz w:val="20"/>
        </w:rPr>
        <w:t>5</w:t>
      </w:r>
      <w:r w:rsidRPr="00BD2B0E">
        <w:rPr>
          <w:rFonts w:ascii="Times New Roman" w:hAnsi="Times New Roman" w:cs="Times New Roman"/>
          <w:b/>
          <w:sz w:val="20"/>
        </w:rPr>
        <w:t>:</w:t>
      </w:r>
      <w:r>
        <w:rPr>
          <w:rFonts w:ascii="Times New Roman" w:hAnsi="Times New Roman" w:cs="Times New Roman"/>
          <w:sz w:val="20"/>
        </w:rPr>
        <w:t xml:space="preserve"> </w:t>
      </w:r>
      <w:r w:rsidR="00236CD9">
        <w:rPr>
          <w:rFonts w:ascii="Times New Roman" w:hAnsi="Times New Roman" w:cs="Times New Roman"/>
          <w:sz w:val="20"/>
        </w:rPr>
        <w:t>De-</w:t>
      </w:r>
      <w:r>
        <w:rPr>
          <w:rFonts w:ascii="Times New Roman" w:hAnsi="Times New Roman" w:cs="Times New Roman"/>
          <w:sz w:val="20"/>
        </w:rPr>
        <w:t xml:space="preserve">activated </w:t>
      </w:r>
      <w:proofErr w:type="spellStart"/>
      <w:r>
        <w:rPr>
          <w:rFonts w:ascii="Times New Roman" w:hAnsi="Times New Roman" w:cs="Times New Roman"/>
          <w:sz w:val="20"/>
        </w:rPr>
        <w:t>SCells</w:t>
      </w:r>
      <w:proofErr w:type="spellEnd"/>
      <w:r>
        <w:rPr>
          <w:rFonts w:ascii="Times New Roman" w:hAnsi="Times New Roman" w:cs="Times New Roman"/>
          <w:sz w:val="20"/>
        </w:rPr>
        <w:t xml:space="preserve"> are</w:t>
      </w:r>
      <w:r w:rsidRPr="00BD2B0E">
        <w:rPr>
          <w:rFonts w:ascii="Times New Roman" w:hAnsi="Times New Roman" w:cs="Times New Roman"/>
          <w:sz w:val="20"/>
        </w:rPr>
        <w:t xml:space="preserve"> </w:t>
      </w:r>
      <w:r>
        <w:rPr>
          <w:rFonts w:ascii="Times New Roman" w:hAnsi="Times New Roman" w:cs="Times New Roman"/>
          <w:sz w:val="20"/>
        </w:rPr>
        <w:t>regarded as neighbor cells.</w:t>
      </w:r>
    </w:p>
    <w:p w:rsidR="00BB3015" w:rsidRDefault="00BB3015" w:rsidP="00BB3015">
      <w:pPr>
        <w:ind w:right="-22"/>
        <w:rPr>
          <w:rFonts w:ascii="Times New Roman" w:hAnsi="Times New Roman" w:cs="Times New Roman"/>
          <w:sz w:val="20"/>
        </w:rPr>
      </w:pPr>
      <w:r w:rsidRPr="00B01456">
        <w:rPr>
          <w:rFonts w:ascii="Times New Roman" w:hAnsi="Times New Roman" w:cs="Times New Roman"/>
          <w:b/>
          <w:sz w:val="20"/>
        </w:rPr>
        <w:t xml:space="preserve">Observation </w:t>
      </w:r>
      <w:r w:rsidR="00397645">
        <w:rPr>
          <w:rFonts w:ascii="Times New Roman" w:hAnsi="Times New Roman" w:cs="Times New Roman"/>
          <w:b/>
          <w:sz w:val="20"/>
        </w:rPr>
        <w:t>6</w:t>
      </w:r>
      <w:r w:rsidRPr="00B01456">
        <w:rPr>
          <w:rFonts w:ascii="Times New Roman" w:hAnsi="Times New Roman" w:cs="Times New Roman"/>
          <w:b/>
          <w:sz w:val="20"/>
        </w:rPr>
        <w:t>:</w:t>
      </w:r>
      <w:r>
        <w:rPr>
          <w:rFonts w:ascii="Times New Roman" w:hAnsi="Times New Roman" w:cs="Times New Roman"/>
          <w:sz w:val="20"/>
        </w:rPr>
        <w:t xml:space="preserve">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parameter is applicable also for de-activated SCell.</w:t>
      </w:r>
    </w:p>
    <w:p w:rsidR="00BE21B7" w:rsidRDefault="00BB3015" w:rsidP="003B659E">
      <w:pPr>
        <w:ind w:right="-22"/>
        <w:rPr>
          <w:rFonts w:ascii="Times New Roman" w:hAnsi="Times New Roman" w:cs="Times New Roman"/>
          <w:sz w:val="20"/>
        </w:rPr>
      </w:pPr>
      <w:r>
        <w:rPr>
          <w:rFonts w:ascii="Times New Roman" w:hAnsi="Times New Roman" w:cs="Times New Roman"/>
          <w:sz w:val="20"/>
        </w:rPr>
        <w:t>We propose to capture these observations for further discussions in RAN4.</w:t>
      </w: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8E122C" w:rsidP="008E122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8E122C">
        <w:rPr>
          <w:rFonts w:ascii="Times New Roman" w:eastAsia="Times New Roman" w:hAnsi="Times New Roman" w:cs="Times New Roman"/>
          <w:sz w:val="20"/>
          <w:szCs w:val="20"/>
          <w:lang w:val="en-GB"/>
        </w:rPr>
        <w:t>R4-1709102</w:t>
      </w:r>
      <w:r w:rsidR="003B659E" w:rsidRPr="0095295C">
        <w:rPr>
          <w:rFonts w:ascii="Times New Roman" w:eastAsia="Times New Roman" w:hAnsi="Times New Roman" w:cs="Times New Roman"/>
          <w:sz w:val="20"/>
          <w:szCs w:val="20"/>
          <w:lang w:val="en-GB"/>
        </w:rPr>
        <w:t xml:space="preserve">, </w:t>
      </w:r>
      <w:r w:rsidRPr="008E122C">
        <w:rPr>
          <w:rFonts w:ascii="Times New Roman" w:eastAsia="Times New Roman" w:hAnsi="Times New Roman" w:cs="Times New Roman"/>
          <w:bCs/>
          <w:sz w:val="20"/>
          <w:szCs w:val="20"/>
        </w:rPr>
        <w:t>WF on network-based CRS interference mitigation</w:t>
      </w:r>
      <w:r w:rsidR="003B659E" w:rsidRPr="0095295C">
        <w:rPr>
          <w:rFonts w:ascii="Times New Roman" w:eastAsia="Times New Roman" w:hAnsi="Times New Roman" w:cs="Times New Roman"/>
          <w:sz w:val="20"/>
          <w:szCs w:val="20"/>
          <w:lang w:val="en-GB"/>
        </w:rPr>
        <w:t xml:space="preserve">, </w:t>
      </w:r>
      <w:r w:rsidRPr="008E122C">
        <w:rPr>
          <w:rFonts w:ascii="Times New Roman" w:eastAsia="Times New Roman" w:hAnsi="Times New Roman" w:cs="Times New Roman"/>
          <w:sz w:val="20"/>
          <w:szCs w:val="20"/>
        </w:rPr>
        <w:t>Ericsson,</w:t>
      </w:r>
      <w:r w:rsidRPr="008E122C">
        <w:rPr>
          <w:rFonts w:ascii="Times New Roman" w:eastAsia="Times New Roman" w:hAnsi="Times New Roman" w:cs="Times New Roman"/>
          <w:sz w:val="20"/>
          <w:szCs w:val="20"/>
          <w:lang w:val="en-GB"/>
        </w:rPr>
        <w:t xml:space="preserve"> </w:t>
      </w:r>
      <w:r w:rsidR="003B659E" w:rsidRPr="0095295C">
        <w:rPr>
          <w:rFonts w:ascii="Times New Roman" w:eastAsia="Times New Roman" w:hAnsi="Times New Roman" w:cs="Times New Roman"/>
          <w:sz w:val="20"/>
          <w:szCs w:val="20"/>
          <w:lang w:val="en-GB"/>
        </w:rPr>
        <w:t xml:space="preserve">Nokia, </w:t>
      </w:r>
      <w:r w:rsidR="00DD11A5">
        <w:rPr>
          <w:rFonts w:ascii="Times New Roman" w:eastAsia="Times New Roman" w:hAnsi="Times New Roman" w:cs="Times New Roman"/>
          <w:sz w:val="20"/>
          <w:szCs w:val="20"/>
          <w:lang w:val="en-GB"/>
        </w:rPr>
        <w:t xml:space="preserve">Nokia </w:t>
      </w:r>
      <w:r w:rsidR="003B659E" w:rsidRPr="0095295C">
        <w:rPr>
          <w:rFonts w:ascii="Times New Roman" w:eastAsia="Times New Roman" w:hAnsi="Times New Roman" w:cs="Times New Roman"/>
          <w:sz w:val="20"/>
          <w:szCs w:val="20"/>
          <w:lang w:val="en-GB"/>
        </w:rPr>
        <w:t>Shanghai Bell</w:t>
      </w:r>
      <w:r w:rsidR="003B659E" w:rsidRPr="0095295C" w:rsidDel="00C651B9">
        <w:rPr>
          <w:rFonts w:ascii="Times New Roman" w:eastAsia="Times New Roman" w:hAnsi="Times New Roman" w:cs="Times New Roman"/>
          <w:sz w:val="20"/>
          <w:szCs w:val="20"/>
          <w:lang w:val="en-GB"/>
        </w:rPr>
        <w:t xml:space="preserve"> </w:t>
      </w:r>
      <w:bookmarkEnd w:id="4"/>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5E7AA4"/>
    <w:multiLevelType w:val="hybridMultilevel"/>
    <w:tmpl w:val="95661138"/>
    <w:lvl w:ilvl="0" w:tplc="00B8D9D6">
      <w:start w:val="1"/>
      <w:numFmt w:val="bullet"/>
      <w:lvlText w:val="•"/>
      <w:lvlJc w:val="left"/>
      <w:pPr>
        <w:tabs>
          <w:tab w:val="num" w:pos="720"/>
        </w:tabs>
        <w:ind w:left="720" w:hanging="360"/>
      </w:pPr>
      <w:rPr>
        <w:rFonts w:ascii="Arial" w:hAnsi="Arial" w:hint="default"/>
      </w:rPr>
    </w:lvl>
    <w:lvl w:ilvl="1" w:tplc="702A9BBA">
      <w:start w:val="1"/>
      <w:numFmt w:val="bullet"/>
      <w:lvlText w:val="•"/>
      <w:lvlJc w:val="left"/>
      <w:pPr>
        <w:tabs>
          <w:tab w:val="num" w:pos="1440"/>
        </w:tabs>
        <w:ind w:left="1440" w:hanging="360"/>
      </w:pPr>
      <w:rPr>
        <w:rFonts w:ascii="Arial" w:hAnsi="Arial" w:hint="default"/>
      </w:rPr>
    </w:lvl>
    <w:lvl w:ilvl="2" w:tplc="D0ECAA32" w:tentative="1">
      <w:start w:val="1"/>
      <w:numFmt w:val="bullet"/>
      <w:lvlText w:val="•"/>
      <w:lvlJc w:val="left"/>
      <w:pPr>
        <w:tabs>
          <w:tab w:val="num" w:pos="2160"/>
        </w:tabs>
        <w:ind w:left="2160" w:hanging="360"/>
      </w:pPr>
      <w:rPr>
        <w:rFonts w:ascii="Arial" w:hAnsi="Arial" w:hint="default"/>
      </w:rPr>
    </w:lvl>
    <w:lvl w:ilvl="3" w:tplc="B57E3A8A" w:tentative="1">
      <w:start w:val="1"/>
      <w:numFmt w:val="bullet"/>
      <w:lvlText w:val="•"/>
      <w:lvlJc w:val="left"/>
      <w:pPr>
        <w:tabs>
          <w:tab w:val="num" w:pos="2880"/>
        </w:tabs>
        <w:ind w:left="2880" w:hanging="360"/>
      </w:pPr>
      <w:rPr>
        <w:rFonts w:ascii="Arial" w:hAnsi="Arial" w:hint="default"/>
      </w:rPr>
    </w:lvl>
    <w:lvl w:ilvl="4" w:tplc="0E124462" w:tentative="1">
      <w:start w:val="1"/>
      <w:numFmt w:val="bullet"/>
      <w:lvlText w:val="•"/>
      <w:lvlJc w:val="left"/>
      <w:pPr>
        <w:tabs>
          <w:tab w:val="num" w:pos="3600"/>
        </w:tabs>
        <w:ind w:left="3600" w:hanging="360"/>
      </w:pPr>
      <w:rPr>
        <w:rFonts w:ascii="Arial" w:hAnsi="Arial" w:hint="default"/>
      </w:rPr>
    </w:lvl>
    <w:lvl w:ilvl="5" w:tplc="F278ADE4" w:tentative="1">
      <w:start w:val="1"/>
      <w:numFmt w:val="bullet"/>
      <w:lvlText w:val="•"/>
      <w:lvlJc w:val="left"/>
      <w:pPr>
        <w:tabs>
          <w:tab w:val="num" w:pos="4320"/>
        </w:tabs>
        <w:ind w:left="4320" w:hanging="360"/>
      </w:pPr>
      <w:rPr>
        <w:rFonts w:ascii="Arial" w:hAnsi="Arial" w:hint="default"/>
      </w:rPr>
    </w:lvl>
    <w:lvl w:ilvl="6" w:tplc="A86A999C" w:tentative="1">
      <w:start w:val="1"/>
      <w:numFmt w:val="bullet"/>
      <w:lvlText w:val="•"/>
      <w:lvlJc w:val="left"/>
      <w:pPr>
        <w:tabs>
          <w:tab w:val="num" w:pos="5040"/>
        </w:tabs>
        <w:ind w:left="5040" w:hanging="360"/>
      </w:pPr>
      <w:rPr>
        <w:rFonts w:ascii="Arial" w:hAnsi="Arial" w:hint="default"/>
      </w:rPr>
    </w:lvl>
    <w:lvl w:ilvl="7" w:tplc="947E3560" w:tentative="1">
      <w:start w:val="1"/>
      <w:numFmt w:val="bullet"/>
      <w:lvlText w:val="•"/>
      <w:lvlJc w:val="left"/>
      <w:pPr>
        <w:tabs>
          <w:tab w:val="num" w:pos="5760"/>
        </w:tabs>
        <w:ind w:left="5760" w:hanging="360"/>
      </w:pPr>
      <w:rPr>
        <w:rFonts w:ascii="Arial" w:hAnsi="Arial" w:hint="default"/>
      </w:rPr>
    </w:lvl>
    <w:lvl w:ilvl="8" w:tplc="08A4D3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A6AF4"/>
    <w:multiLevelType w:val="hybridMultilevel"/>
    <w:tmpl w:val="D466057A"/>
    <w:lvl w:ilvl="0" w:tplc="76DA2A8A">
      <w:start w:val="1"/>
      <w:numFmt w:val="bullet"/>
      <w:lvlText w:val="•"/>
      <w:lvlJc w:val="left"/>
      <w:pPr>
        <w:tabs>
          <w:tab w:val="num" w:pos="720"/>
        </w:tabs>
        <w:ind w:left="720" w:hanging="360"/>
      </w:pPr>
      <w:rPr>
        <w:rFonts w:ascii="Arial" w:hAnsi="Arial" w:hint="default"/>
      </w:rPr>
    </w:lvl>
    <w:lvl w:ilvl="1" w:tplc="5E02CC24" w:tentative="1">
      <w:start w:val="1"/>
      <w:numFmt w:val="bullet"/>
      <w:lvlText w:val="•"/>
      <w:lvlJc w:val="left"/>
      <w:pPr>
        <w:tabs>
          <w:tab w:val="num" w:pos="1440"/>
        </w:tabs>
        <w:ind w:left="1440" w:hanging="360"/>
      </w:pPr>
      <w:rPr>
        <w:rFonts w:ascii="Arial" w:hAnsi="Arial" w:hint="default"/>
      </w:rPr>
    </w:lvl>
    <w:lvl w:ilvl="2" w:tplc="FF20FAAE">
      <w:start w:val="1"/>
      <w:numFmt w:val="bullet"/>
      <w:lvlText w:val="•"/>
      <w:lvlJc w:val="left"/>
      <w:pPr>
        <w:tabs>
          <w:tab w:val="num" w:pos="2160"/>
        </w:tabs>
        <w:ind w:left="2160" w:hanging="360"/>
      </w:pPr>
      <w:rPr>
        <w:rFonts w:ascii="Arial" w:hAnsi="Arial" w:hint="default"/>
      </w:rPr>
    </w:lvl>
    <w:lvl w:ilvl="3" w:tplc="A0AA49A6" w:tentative="1">
      <w:start w:val="1"/>
      <w:numFmt w:val="bullet"/>
      <w:lvlText w:val="•"/>
      <w:lvlJc w:val="left"/>
      <w:pPr>
        <w:tabs>
          <w:tab w:val="num" w:pos="2880"/>
        </w:tabs>
        <w:ind w:left="2880" w:hanging="360"/>
      </w:pPr>
      <w:rPr>
        <w:rFonts w:ascii="Arial" w:hAnsi="Arial" w:hint="default"/>
      </w:rPr>
    </w:lvl>
    <w:lvl w:ilvl="4" w:tplc="B6F8ED90" w:tentative="1">
      <w:start w:val="1"/>
      <w:numFmt w:val="bullet"/>
      <w:lvlText w:val="•"/>
      <w:lvlJc w:val="left"/>
      <w:pPr>
        <w:tabs>
          <w:tab w:val="num" w:pos="3600"/>
        </w:tabs>
        <w:ind w:left="3600" w:hanging="360"/>
      </w:pPr>
      <w:rPr>
        <w:rFonts w:ascii="Arial" w:hAnsi="Arial" w:hint="default"/>
      </w:rPr>
    </w:lvl>
    <w:lvl w:ilvl="5" w:tplc="506E030E" w:tentative="1">
      <w:start w:val="1"/>
      <w:numFmt w:val="bullet"/>
      <w:lvlText w:val="•"/>
      <w:lvlJc w:val="left"/>
      <w:pPr>
        <w:tabs>
          <w:tab w:val="num" w:pos="4320"/>
        </w:tabs>
        <w:ind w:left="4320" w:hanging="360"/>
      </w:pPr>
      <w:rPr>
        <w:rFonts w:ascii="Arial" w:hAnsi="Arial" w:hint="default"/>
      </w:rPr>
    </w:lvl>
    <w:lvl w:ilvl="6" w:tplc="B1EAD5A4" w:tentative="1">
      <w:start w:val="1"/>
      <w:numFmt w:val="bullet"/>
      <w:lvlText w:val="•"/>
      <w:lvlJc w:val="left"/>
      <w:pPr>
        <w:tabs>
          <w:tab w:val="num" w:pos="5040"/>
        </w:tabs>
        <w:ind w:left="5040" w:hanging="360"/>
      </w:pPr>
      <w:rPr>
        <w:rFonts w:ascii="Arial" w:hAnsi="Arial" w:hint="default"/>
      </w:rPr>
    </w:lvl>
    <w:lvl w:ilvl="7" w:tplc="860C0CCA" w:tentative="1">
      <w:start w:val="1"/>
      <w:numFmt w:val="bullet"/>
      <w:lvlText w:val="•"/>
      <w:lvlJc w:val="left"/>
      <w:pPr>
        <w:tabs>
          <w:tab w:val="num" w:pos="5760"/>
        </w:tabs>
        <w:ind w:left="5760" w:hanging="360"/>
      </w:pPr>
      <w:rPr>
        <w:rFonts w:ascii="Arial" w:hAnsi="Arial" w:hint="default"/>
      </w:rPr>
    </w:lvl>
    <w:lvl w:ilvl="8" w:tplc="12A0F1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C7B1C"/>
    <w:multiLevelType w:val="hybridMultilevel"/>
    <w:tmpl w:val="76086DA0"/>
    <w:lvl w:ilvl="0" w:tplc="324C1C44">
      <w:start w:val="1"/>
      <w:numFmt w:val="bullet"/>
      <w:lvlText w:val="•"/>
      <w:lvlJc w:val="left"/>
      <w:pPr>
        <w:tabs>
          <w:tab w:val="num" w:pos="720"/>
        </w:tabs>
        <w:ind w:left="720" w:hanging="360"/>
      </w:pPr>
      <w:rPr>
        <w:rFonts w:ascii="Arial" w:hAnsi="Arial" w:hint="default"/>
      </w:rPr>
    </w:lvl>
    <w:lvl w:ilvl="1" w:tplc="D2D6F2EC">
      <w:numFmt w:val="bullet"/>
      <w:lvlText w:val="•"/>
      <w:lvlJc w:val="left"/>
      <w:pPr>
        <w:tabs>
          <w:tab w:val="num" w:pos="1440"/>
        </w:tabs>
        <w:ind w:left="1440" w:hanging="360"/>
      </w:pPr>
      <w:rPr>
        <w:rFonts w:ascii="Arial" w:hAnsi="Arial" w:hint="default"/>
      </w:rPr>
    </w:lvl>
    <w:lvl w:ilvl="2" w:tplc="CE1A6B7A">
      <w:numFmt w:val="bullet"/>
      <w:lvlText w:val="•"/>
      <w:lvlJc w:val="left"/>
      <w:pPr>
        <w:tabs>
          <w:tab w:val="num" w:pos="2160"/>
        </w:tabs>
        <w:ind w:left="2160" w:hanging="360"/>
      </w:pPr>
      <w:rPr>
        <w:rFonts w:ascii="Arial" w:hAnsi="Arial" w:hint="default"/>
      </w:rPr>
    </w:lvl>
    <w:lvl w:ilvl="3" w:tplc="8CF410CE" w:tentative="1">
      <w:start w:val="1"/>
      <w:numFmt w:val="bullet"/>
      <w:lvlText w:val="•"/>
      <w:lvlJc w:val="left"/>
      <w:pPr>
        <w:tabs>
          <w:tab w:val="num" w:pos="2880"/>
        </w:tabs>
        <w:ind w:left="2880" w:hanging="360"/>
      </w:pPr>
      <w:rPr>
        <w:rFonts w:ascii="Arial" w:hAnsi="Arial" w:hint="default"/>
      </w:rPr>
    </w:lvl>
    <w:lvl w:ilvl="4" w:tplc="FC70FECA" w:tentative="1">
      <w:start w:val="1"/>
      <w:numFmt w:val="bullet"/>
      <w:lvlText w:val="•"/>
      <w:lvlJc w:val="left"/>
      <w:pPr>
        <w:tabs>
          <w:tab w:val="num" w:pos="3600"/>
        </w:tabs>
        <w:ind w:left="3600" w:hanging="360"/>
      </w:pPr>
      <w:rPr>
        <w:rFonts w:ascii="Arial" w:hAnsi="Arial" w:hint="default"/>
      </w:rPr>
    </w:lvl>
    <w:lvl w:ilvl="5" w:tplc="14AE99D4" w:tentative="1">
      <w:start w:val="1"/>
      <w:numFmt w:val="bullet"/>
      <w:lvlText w:val="•"/>
      <w:lvlJc w:val="left"/>
      <w:pPr>
        <w:tabs>
          <w:tab w:val="num" w:pos="4320"/>
        </w:tabs>
        <w:ind w:left="4320" w:hanging="360"/>
      </w:pPr>
      <w:rPr>
        <w:rFonts w:ascii="Arial" w:hAnsi="Arial" w:hint="default"/>
      </w:rPr>
    </w:lvl>
    <w:lvl w:ilvl="6" w:tplc="C6623B14" w:tentative="1">
      <w:start w:val="1"/>
      <w:numFmt w:val="bullet"/>
      <w:lvlText w:val="•"/>
      <w:lvlJc w:val="left"/>
      <w:pPr>
        <w:tabs>
          <w:tab w:val="num" w:pos="5040"/>
        </w:tabs>
        <w:ind w:left="5040" w:hanging="360"/>
      </w:pPr>
      <w:rPr>
        <w:rFonts w:ascii="Arial" w:hAnsi="Arial" w:hint="default"/>
      </w:rPr>
    </w:lvl>
    <w:lvl w:ilvl="7" w:tplc="FC803E1A" w:tentative="1">
      <w:start w:val="1"/>
      <w:numFmt w:val="bullet"/>
      <w:lvlText w:val="•"/>
      <w:lvlJc w:val="left"/>
      <w:pPr>
        <w:tabs>
          <w:tab w:val="num" w:pos="5760"/>
        </w:tabs>
        <w:ind w:left="5760" w:hanging="360"/>
      </w:pPr>
      <w:rPr>
        <w:rFonts w:ascii="Arial" w:hAnsi="Arial" w:hint="default"/>
      </w:rPr>
    </w:lvl>
    <w:lvl w:ilvl="8" w:tplc="B7E4147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415E6"/>
    <w:rsid w:val="0004762E"/>
    <w:rsid w:val="000C72E3"/>
    <w:rsid w:val="00105D5A"/>
    <w:rsid w:val="00155CA3"/>
    <w:rsid w:val="001838CF"/>
    <w:rsid w:val="00187D63"/>
    <w:rsid w:val="001E30F6"/>
    <w:rsid w:val="00236CD9"/>
    <w:rsid w:val="002A4562"/>
    <w:rsid w:val="002B4007"/>
    <w:rsid w:val="00356B6F"/>
    <w:rsid w:val="00397645"/>
    <w:rsid w:val="003B659E"/>
    <w:rsid w:val="003E529C"/>
    <w:rsid w:val="0043750A"/>
    <w:rsid w:val="004C7D8B"/>
    <w:rsid w:val="004E5E66"/>
    <w:rsid w:val="004F45AC"/>
    <w:rsid w:val="00503B4D"/>
    <w:rsid w:val="005E61A8"/>
    <w:rsid w:val="005F7E74"/>
    <w:rsid w:val="006605C5"/>
    <w:rsid w:val="00664950"/>
    <w:rsid w:val="007337B0"/>
    <w:rsid w:val="00785232"/>
    <w:rsid w:val="007A3A11"/>
    <w:rsid w:val="007C3ED0"/>
    <w:rsid w:val="00811C9D"/>
    <w:rsid w:val="00841BCD"/>
    <w:rsid w:val="008D01BF"/>
    <w:rsid w:val="008E122C"/>
    <w:rsid w:val="00932FA6"/>
    <w:rsid w:val="0098418A"/>
    <w:rsid w:val="009D1D41"/>
    <w:rsid w:val="009F2409"/>
    <w:rsid w:val="00A177AB"/>
    <w:rsid w:val="00A25AE5"/>
    <w:rsid w:val="00A516EC"/>
    <w:rsid w:val="00AA1B0E"/>
    <w:rsid w:val="00AC5CA7"/>
    <w:rsid w:val="00B01456"/>
    <w:rsid w:val="00B66235"/>
    <w:rsid w:val="00BA6E48"/>
    <w:rsid w:val="00BB3015"/>
    <w:rsid w:val="00BD2B0E"/>
    <w:rsid w:val="00BE21B7"/>
    <w:rsid w:val="00BF2218"/>
    <w:rsid w:val="00BF5580"/>
    <w:rsid w:val="00BF6D23"/>
    <w:rsid w:val="00CE3A6B"/>
    <w:rsid w:val="00D00211"/>
    <w:rsid w:val="00D06309"/>
    <w:rsid w:val="00D43403"/>
    <w:rsid w:val="00D85728"/>
    <w:rsid w:val="00DD11A5"/>
    <w:rsid w:val="00DF2997"/>
    <w:rsid w:val="00EC7BC3"/>
    <w:rsid w:val="00EE07D7"/>
    <w:rsid w:val="00F1362C"/>
    <w:rsid w:val="00F962E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1947">
      <w:bodyDiv w:val="1"/>
      <w:marLeft w:val="0"/>
      <w:marRight w:val="0"/>
      <w:marTop w:val="0"/>
      <w:marBottom w:val="0"/>
      <w:divBdr>
        <w:top w:val="none" w:sz="0" w:space="0" w:color="auto"/>
        <w:left w:val="none" w:sz="0" w:space="0" w:color="auto"/>
        <w:bottom w:val="none" w:sz="0" w:space="0" w:color="auto"/>
        <w:right w:val="none" w:sz="0" w:space="0" w:color="auto"/>
      </w:divBdr>
      <w:divsChild>
        <w:div w:id="2011716543">
          <w:marLeft w:val="1800"/>
          <w:marRight w:val="0"/>
          <w:marTop w:val="100"/>
          <w:marBottom w:val="0"/>
          <w:divBdr>
            <w:top w:val="none" w:sz="0" w:space="0" w:color="auto"/>
            <w:left w:val="none" w:sz="0" w:space="0" w:color="auto"/>
            <w:bottom w:val="none" w:sz="0" w:space="0" w:color="auto"/>
            <w:right w:val="none" w:sz="0" w:space="0" w:color="auto"/>
          </w:divBdr>
        </w:div>
        <w:div w:id="1696729915">
          <w:marLeft w:val="1800"/>
          <w:marRight w:val="0"/>
          <w:marTop w:val="100"/>
          <w:marBottom w:val="0"/>
          <w:divBdr>
            <w:top w:val="none" w:sz="0" w:space="0" w:color="auto"/>
            <w:left w:val="none" w:sz="0" w:space="0" w:color="auto"/>
            <w:bottom w:val="none" w:sz="0" w:space="0" w:color="auto"/>
            <w:right w:val="none" w:sz="0" w:space="0" w:color="auto"/>
          </w:divBdr>
        </w:div>
        <w:div w:id="1936554227">
          <w:marLeft w:val="1800"/>
          <w:marRight w:val="0"/>
          <w:marTop w:val="100"/>
          <w:marBottom w:val="0"/>
          <w:divBdr>
            <w:top w:val="none" w:sz="0" w:space="0" w:color="auto"/>
            <w:left w:val="none" w:sz="0" w:space="0" w:color="auto"/>
            <w:bottom w:val="none" w:sz="0" w:space="0" w:color="auto"/>
            <w:right w:val="none" w:sz="0" w:space="0" w:color="auto"/>
          </w:divBdr>
        </w:div>
        <w:div w:id="934168652">
          <w:marLeft w:val="1800"/>
          <w:marRight w:val="0"/>
          <w:marTop w:val="100"/>
          <w:marBottom w:val="0"/>
          <w:divBdr>
            <w:top w:val="none" w:sz="0" w:space="0" w:color="auto"/>
            <w:left w:val="none" w:sz="0" w:space="0" w:color="auto"/>
            <w:bottom w:val="none" w:sz="0" w:space="0" w:color="auto"/>
            <w:right w:val="none" w:sz="0" w:space="0" w:color="auto"/>
          </w:divBdr>
        </w:div>
        <w:div w:id="1379234247">
          <w:marLeft w:val="1800"/>
          <w:marRight w:val="0"/>
          <w:marTop w:val="100"/>
          <w:marBottom w:val="0"/>
          <w:divBdr>
            <w:top w:val="none" w:sz="0" w:space="0" w:color="auto"/>
            <w:left w:val="none" w:sz="0" w:space="0" w:color="auto"/>
            <w:bottom w:val="none" w:sz="0" w:space="0" w:color="auto"/>
            <w:right w:val="none" w:sz="0" w:space="0" w:color="auto"/>
          </w:divBdr>
        </w:div>
      </w:divsChild>
    </w:div>
    <w:div w:id="1136025812">
      <w:bodyDiv w:val="1"/>
      <w:marLeft w:val="0"/>
      <w:marRight w:val="0"/>
      <w:marTop w:val="0"/>
      <w:marBottom w:val="0"/>
      <w:divBdr>
        <w:top w:val="none" w:sz="0" w:space="0" w:color="auto"/>
        <w:left w:val="none" w:sz="0" w:space="0" w:color="auto"/>
        <w:bottom w:val="none" w:sz="0" w:space="0" w:color="auto"/>
        <w:right w:val="none" w:sz="0" w:space="0" w:color="auto"/>
      </w:divBdr>
      <w:divsChild>
        <w:div w:id="108858726">
          <w:marLeft w:val="360"/>
          <w:marRight w:val="0"/>
          <w:marTop w:val="200"/>
          <w:marBottom w:val="0"/>
          <w:divBdr>
            <w:top w:val="none" w:sz="0" w:space="0" w:color="auto"/>
            <w:left w:val="none" w:sz="0" w:space="0" w:color="auto"/>
            <w:bottom w:val="none" w:sz="0" w:space="0" w:color="auto"/>
            <w:right w:val="none" w:sz="0" w:space="0" w:color="auto"/>
          </w:divBdr>
        </w:div>
        <w:div w:id="865025276">
          <w:marLeft w:val="1080"/>
          <w:marRight w:val="0"/>
          <w:marTop w:val="100"/>
          <w:marBottom w:val="0"/>
          <w:divBdr>
            <w:top w:val="none" w:sz="0" w:space="0" w:color="auto"/>
            <w:left w:val="none" w:sz="0" w:space="0" w:color="auto"/>
            <w:bottom w:val="none" w:sz="0" w:space="0" w:color="auto"/>
            <w:right w:val="none" w:sz="0" w:space="0" w:color="auto"/>
          </w:divBdr>
        </w:div>
        <w:div w:id="888957702">
          <w:marLeft w:val="1080"/>
          <w:marRight w:val="0"/>
          <w:marTop w:val="100"/>
          <w:marBottom w:val="0"/>
          <w:divBdr>
            <w:top w:val="none" w:sz="0" w:space="0" w:color="auto"/>
            <w:left w:val="none" w:sz="0" w:space="0" w:color="auto"/>
            <w:bottom w:val="none" w:sz="0" w:space="0" w:color="auto"/>
            <w:right w:val="none" w:sz="0" w:space="0" w:color="auto"/>
          </w:divBdr>
        </w:div>
        <w:div w:id="113836826">
          <w:marLeft w:val="1080"/>
          <w:marRight w:val="0"/>
          <w:marTop w:val="100"/>
          <w:marBottom w:val="0"/>
          <w:divBdr>
            <w:top w:val="none" w:sz="0" w:space="0" w:color="auto"/>
            <w:left w:val="none" w:sz="0" w:space="0" w:color="auto"/>
            <w:bottom w:val="none" w:sz="0" w:space="0" w:color="auto"/>
            <w:right w:val="none" w:sz="0" w:space="0" w:color="auto"/>
          </w:divBdr>
        </w:div>
        <w:div w:id="439692418">
          <w:marLeft w:val="1800"/>
          <w:marRight w:val="0"/>
          <w:marTop w:val="100"/>
          <w:marBottom w:val="0"/>
          <w:divBdr>
            <w:top w:val="none" w:sz="0" w:space="0" w:color="auto"/>
            <w:left w:val="none" w:sz="0" w:space="0" w:color="auto"/>
            <w:bottom w:val="none" w:sz="0" w:space="0" w:color="auto"/>
            <w:right w:val="none" w:sz="0" w:space="0" w:color="auto"/>
          </w:divBdr>
        </w:div>
        <w:div w:id="1086725798">
          <w:marLeft w:val="1800"/>
          <w:marRight w:val="0"/>
          <w:marTop w:val="100"/>
          <w:marBottom w:val="0"/>
          <w:divBdr>
            <w:top w:val="none" w:sz="0" w:space="0" w:color="auto"/>
            <w:left w:val="none" w:sz="0" w:space="0" w:color="auto"/>
            <w:bottom w:val="none" w:sz="0" w:space="0" w:color="auto"/>
            <w:right w:val="none" w:sz="0" w:space="0" w:color="auto"/>
          </w:divBdr>
        </w:div>
        <w:div w:id="818957439">
          <w:marLeft w:val="1800"/>
          <w:marRight w:val="0"/>
          <w:marTop w:val="100"/>
          <w:marBottom w:val="0"/>
          <w:divBdr>
            <w:top w:val="none" w:sz="0" w:space="0" w:color="auto"/>
            <w:left w:val="none" w:sz="0" w:space="0" w:color="auto"/>
            <w:bottom w:val="none" w:sz="0" w:space="0" w:color="auto"/>
            <w:right w:val="none" w:sz="0" w:space="0" w:color="auto"/>
          </w:divBdr>
        </w:div>
        <w:div w:id="1278370232">
          <w:marLeft w:val="360"/>
          <w:marRight w:val="0"/>
          <w:marTop w:val="200"/>
          <w:marBottom w:val="0"/>
          <w:divBdr>
            <w:top w:val="none" w:sz="0" w:space="0" w:color="auto"/>
            <w:left w:val="none" w:sz="0" w:space="0" w:color="auto"/>
            <w:bottom w:val="none" w:sz="0" w:space="0" w:color="auto"/>
            <w:right w:val="none" w:sz="0" w:space="0" w:color="auto"/>
          </w:divBdr>
        </w:div>
        <w:div w:id="1945771506">
          <w:marLeft w:val="1080"/>
          <w:marRight w:val="0"/>
          <w:marTop w:val="100"/>
          <w:marBottom w:val="0"/>
          <w:divBdr>
            <w:top w:val="none" w:sz="0" w:space="0" w:color="auto"/>
            <w:left w:val="none" w:sz="0" w:space="0" w:color="auto"/>
            <w:bottom w:val="none" w:sz="0" w:space="0" w:color="auto"/>
            <w:right w:val="none" w:sz="0" w:space="0" w:color="auto"/>
          </w:divBdr>
        </w:div>
        <w:div w:id="1426538622">
          <w:marLeft w:val="1080"/>
          <w:marRight w:val="0"/>
          <w:marTop w:val="100"/>
          <w:marBottom w:val="0"/>
          <w:divBdr>
            <w:top w:val="none" w:sz="0" w:space="0" w:color="auto"/>
            <w:left w:val="none" w:sz="0" w:space="0" w:color="auto"/>
            <w:bottom w:val="none" w:sz="0" w:space="0" w:color="auto"/>
            <w:right w:val="none" w:sz="0" w:space="0" w:color="auto"/>
          </w:divBdr>
        </w:div>
      </w:divsChild>
    </w:div>
    <w:div w:id="1890652489">
      <w:bodyDiv w:val="1"/>
      <w:marLeft w:val="0"/>
      <w:marRight w:val="0"/>
      <w:marTop w:val="0"/>
      <w:marBottom w:val="0"/>
      <w:divBdr>
        <w:top w:val="none" w:sz="0" w:space="0" w:color="auto"/>
        <w:left w:val="none" w:sz="0" w:space="0" w:color="auto"/>
        <w:bottom w:val="none" w:sz="0" w:space="0" w:color="auto"/>
        <w:right w:val="none" w:sz="0" w:space="0" w:color="auto"/>
      </w:divBdr>
      <w:divsChild>
        <w:div w:id="1239436278">
          <w:marLeft w:val="1080"/>
          <w:marRight w:val="0"/>
          <w:marTop w:val="100"/>
          <w:marBottom w:val="0"/>
          <w:divBdr>
            <w:top w:val="none" w:sz="0" w:space="0" w:color="auto"/>
            <w:left w:val="none" w:sz="0" w:space="0" w:color="auto"/>
            <w:bottom w:val="none" w:sz="0" w:space="0" w:color="auto"/>
            <w:right w:val="none" w:sz="0" w:space="0" w:color="auto"/>
          </w:divBdr>
        </w:div>
        <w:div w:id="534200824">
          <w:marLeft w:val="1080"/>
          <w:marRight w:val="0"/>
          <w:marTop w:val="100"/>
          <w:marBottom w:val="0"/>
          <w:divBdr>
            <w:top w:val="none" w:sz="0" w:space="0" w:color="auto"/>
            <w:left w:val="none" w:sz="0" w:space="0" w:color="auto"/>
            <w:bottom w:val="none" w:sz="0" w:space="0" w:color="auto"/>
            <w:right w:val="none" w:sz="0" w:space="0" w:color="auto"/>
          </w:divBdr>
        </w:div>
        <w:div w:id="1704405998">
          <w:marLeft w:val="1080"/>
          <w:marRight w:val="0"/>
          <w:marTop w:val="100"/>
          <w:marBottom w:val="0"/>
          <w:divBdr>
            <w:top w:val="none" w:sz="0" w:space="0" w:color="auto"/>
            <w:left w:val="none" w:sz="0" w:space="0" w:color="auto"/>
            <w:bottom w:val="none" w:sz="0" w:space="0" w:color="auto"/>
            <w:right w:val="none" w:sz="0" w:space="0" w:color="auto"/>
          </w:divBdr>
        </w:div>
        <w:div w:id="528104397">
          <w:marLeft w:val="1080"/>
          <w:marRight w:val="0"/>
          <w:marTop w:val="100"/>
          <w:marBottom w:val="0"/>
          <w:divBdr>
            <w:top w:val="none" w:sz="0" w:space="0" w:color="auto"/>
            <w:left w:val="none" w:sz="0" w:space="0" w:color="auto"/>
            <w:bottom w:val="none" w:sz="0" w:space="0" w:color="auto"/>
            <w:right w:val="none" w:sz="0" w:space="0" w:color="auto"/>
          </w:divBdr>
        </w:div>
        <w:div w:id="1501920818">
          <w:marLeft w:val="1080"/>
          <w:marRight w:val="0"/>
          <w:marTop w:val="100"/>
          <w:marBottom w:val="0"/>
          <w:divBdr>
            <w:top w:val="none" w:sz="0" w:space="0" w:color="auto"/>
            <w:left w:val="none" w:sz="0" w:space="0" w:color="auto"/>
            <w:bottom w:val="none" w:sz="0" w:space="0" w:color="auto"/>
            <w:right w:val="none" w:sz="0" w:space="0" w:color="auto"/>
          </w:divBdr>
        </w:div>
      </w:divsChild>
    </w:div>
    <w:div w:id="2001351975">
      <w:bodyDiv w:val="1"/>
      <w:marLeft w:val="0"/>
      <w:marRight w:val="0"/>
      <w:marTop w:val="0"/>
      <w:marBottom w:val="0"/>
      <w:divBdr>
        <w:top w:val="none" w:sz="0" w:space="0" w:color="auto"/>
        <w:left w:val="none" w:sz="0" w:space="0" w:color="auto"/>
        <w:bottom w:val="none" w:sz="0" w:space="0" w:color="auto"/>
        <w:right w:val="none" w:sz="0" w:space="0" w:color="auto"/>
      </w:divBdr>
      <w:divsChild>
        <w:div w:id="1400401217">
          <w:marLeft w:val="360"/>
          <w:marRight w:val="0"/>
          <w:marTop w:val="200"/>
          <w:marBottom w:val="0"/>
          <w:divBdr>
            <w:top w:val="none" w:sz="0" w:space="0" w:color="auto"/>
            <w:left w:val="none" w:sz="0" w:space="0" w:color="auto"/>
            <w:bottom w:val="none" w:sz="0" w:space="0" w:color="auto"/>
            <w:right w:val="none" w:sz="0" w:space="0" w:color="auto"/>
          </w:divBdr>
        </w:div>
        <w:div w:id="1934123815">
          <w:marLeft w:val="1080"/>
          <w:marRight w:val="0"/>
          <w:marTop w:val="100"/>
          <w:marBottom w:val="0"/>
          <w:divBdr>
            <w:top w:val="none" w:sz="0" w:space="0" w:color="auto"/>
            <w:left w:val="none" w:sz="0" w:space="0" w:color="auto"/>
            <w:bottom w:val="none" w:sz="0" w:space="0" w:color="auto"/>
            <w:right w:val="none" w:sz="0" w:space="0" w:color="auto"/>
          </w:divBdr>
        </w:div>
        <w:div w:id="1358896838">
          <w:marLeft w:val="1080"/>
          <w:marRight w:val="0"/>
          <w:marTop w:val="100"/>
          <w:marBottom w:val="0"/>
          <w:divBdr>
            <w:top w:val="none" w:sz="0" w:space="0" w:color="auto"/>
            <w:left w:val="none" w:sz="0" w:space="0" w:color="auto"/>
            <w:bottom w:val="none" w:sz="0" w:space="0" w:color="auto"/>
            <w:right w:val="none" w:sz="0" w:space="0" w:color="auto"/>
          </w:divBdr>
        </w:div>
        <w:div w:id="861285451">
          <w:marLeft w:val="1080"/>
          <w:marRight w:val="0"/>
          <w:marTop w:val="100"/>
          <w:marBottom w:val="0"/>
          <w:divBdr>
            <w:top w:val="none" w:sz="0" w:space="0" w:color="auto"/>
            <w:left w:val="none" w:sz="0" w:space="0" w:color="auto"/>
            <w:bottom w:val="none" w:sz="0" w:space="0" w:color="auto"/>
            <w:right w:val="none" w:sz="0" w:space="0" w:color="auto"/>
          </w:divBdr>
        </w:div>
        <w:div w:id="1881284480">
          <w:marLeft w:val="1800"/>
          <w:marRight w:val="0"/>
          <w:marTop w:val="100"/>
          <w:marBottom w:val="0"/>
          <w:divBdr>
            <w:top w:val="none" w:sz="0" w:space="0" w:color="auto"/>
            <w:left w:val="none" w:sz="0" w:space="0" w:color="auto"/>
            <w:bottom w:val="none" w:sz="0" w:space="0" w:color="auto"/>
            <w:right w:val="none" w:sz="0" w:space="0" w:color="auto"/>
          </w:divBdr>
        </w:div>
        <w:div w:id="2091542808">
          <w:marLeft w:val="1800"/>
          <w:marRight w:val="0"/>
          <w:marTop w:val="100"/>
          <w:marBottom w:val="0"/>
          <w:divBdr>
            <w:top w:val="none" w:sz="0" w:space="0" w:color="auto"/>
            <w:left w:val="none" w:sz="0" w:space="0" w:color="auto"/>
            <w:bottom w:val="none" w:sz="0" w:space="0" w:color="auto"/>
            <w:right w:val="none" w:sz="0" w:space="0" w:color="auto"/>
          </w:divBdr>
        </w:div>
        <w:div w:id="802500867">
          <w:marLeft w:val="1800"/>
          <w:marRight w:val="0"/>
          <w:marTop w:val="100"/>
          <w:marBottom w:val="0"/>
          <w:divBdr>
            <w:top w:val="none" w:sz="0" w:space="0" w:color="auto"/>
            <w:left w:val="none" w:sz="0" w:space="0" w:color="auto"/>
            <w:bottom w:val="none" w:sz="0" w:space="0" w:color="auto"/>
            <w:right w:val="none" w:sz="0" w:space="0" w:color="auto"/>
          </w:divBdr>
        </w:div>
        <w:div w:id="2090417822">
          <w:marLeft w:val="360"/>
          <w:marRight w:val="0"/>
          <w:marTop w:val="200"/>
          <w:marBottom w:val="0"/>
          <w:divBdr>
            <w:top w:val="none" w:sz="0" w:space="0" w:color="auto"/>
            <w:left w:val="none" w:sz="0" w:space="0" w:color="auto"/>
            <w:bottom w:val="none" w:sz="0" w:space="0" w:color="auto"/>
            <w:right w:val="none" w:sz="0" w:space="0" w:color="auto"/>
          </w:divBdr>
        </w:div>
        <w:div w:id="358119007">
          <w:marLeft w:val="1080"/>
          <w:marRight w:val="0"/>
          <w:marTop w:val="100"/>
          <w:marBottom w:val="0"/>
          <w:divBdr>
            <w:top w:val="none" w:sz="0" w:space="0" w:color="auto"/>
            <w:left w:val="none" w:sz="0" w:space="0" w:color="auto"/>
            <w:bottom w:val="none" w:sz="0" w:space="0" w:color="auto"/>
            <w:right w:val="none" w:sz="0" w:space="0" w:color="auto"/>
          </w:divBdr>
        </w:div>
        <w:div w:id="115876765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2017-10-02T20:44:00Z</dcterms:created>
  <dcterms:modified xsi:type="dcterms:W3CDTF">2017-10-02T20:44:00Z</dcterms:modified>
</cp:coreProperties>
</file>