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5313E" w14:textId="77777777" w:rsidR="00BE20DF" w:rsidRDefault="00BE20DF" w:rsidP="008C442A">
      <w:pPr>
        <w:pStyle w:val="Header"/>
        <w:tabs>
          <w:tab w:val="right" w:pos="9639"/>
        </w:tabs>
        <w:rPr>
          <w:noProof w:val="0"/>
          <w:sz w:val="24"/>
        </w:rPr>
      </w:pPr>
    </w:p>
    <w:p w14:paraId="6FAEBD82" w14:textId="187567C0" w:rsidR="00BE20DF" w:rsidRPr="008E491B" w:rsidRDefault="00BE20DF" w:rsidP="00BE20DF">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Pr="008E491B">
        <w:rPr>
          <w:noProof w:val="0"/>
          <w:sz w:val="24"/>
        </w:rPr>
        <w:t>2</w:t>
      </w:r>
      <w:r w:rsidRPr="008E491B">
        <w:rPr>
          <w:noProof w:val="0"/>
          <w:sz w:val="24"/>
        </w:rPr>
        <w:tab/>
        <w:t>R4-17</w:t>
      </w:r>
      <w:r w:rsidR="000642AF">
        <w:rPr>
          <w:noProof w:val="0"/>
          <w:sz w:val="24"/>
        </w:rPr>
        <w:t>0</w:t>
      </w:r>
      <w:r w:rsidR="00D66247">
        <w:rPr>
          <w:noProof w:val="0"/>
          <w:sz w:val="24"/>
        </w:rPr>
        <w:t>0</w:t>
      </w:r>
      <w:r w:rsidR="000642AF">
        <w:rPr>
          <w:noProof w:val="0"/>
          <w:sz w:val="24"/>
        </w:rPr>
        <w:t>720</w:t>
      </w:r>
    </w:p>
    <w:p w14:paraId="1DA927F4" w14:textId="77777777" w:rsidR="00BE20DF" w:rsidRPr="008E491B" w:rsidRDefault="00BE20DF" w:rsidP="00BE20DF">
      <w:pPr>
        <w:pStyle w:val="Header"/>
        <w:tabs>
          <w:tab w:val="right" w:pos="9639"/>
        </w:tabs>
        <w:rPr>
          <w:noProof w:val="0"/>
          <w:sz w:val="24"/>
        </w:rPr>
      </w:pPr>
      <w:r w:rsidRPr="008E491B">
        <w:rPr>
          <w:noProof w:val="0"/>
          <w:sz w:val="24"/>
        </w:rPr>
        <w:t>Athens</w:t>
      </w:r>
      <w:r w:rsidRPr="008E491B">
        <w:rPr>
          <w:rFonts w:hint="eastAsia"/>
          <w:noProof w:val="0"/>
          <w:sz w:val="24"/>
        </w:rPr>
        <w:t xml:space="preserve">, </w:t>
      </w:r>
      <w:r w:rsidRPr="008E491B">
        <w:rPr>
          <w:noProof w:val="0"/>
          <w:sz w:val="24"/>
        </w:rPr>
        <w:t xml:space="preserve">Greece, 13 </w:t>
      </w:r>
      <w:r w:rsidRPr="008E491B">
        <w:rPr>
          <w:rFonts w:hint="eastAsia"/>
          <w:noProof w:val="0"/>
          <w:sz w:val="24"/>
        </w:rPr>
        <w:t xml:space="preserve">- </w:t>
      </w:r>
      <w:r w:rsidRPr="008E491B">
        <w:rPr>
          <w:noProof w:val="0"/>
          <w:sz w:val="24"/>
        </w:rPr>
        <w:t>17 February, 2017</w:t>
      </w:r>
    </w:p>
    <w:p w14:paraId="7D6E7BB3" w14:textId="77777777" w:rsidR="00CD4C7B" w:rsidRPr="00B266B0" w:rsidRDefault="00CD4C7B" w:rsidP="00CD4C7B">
      <w:pPr>
        <w:pStyle w:val="Header"/>
        <w:rPr>
          <w:bCs/>
          <w:noProof w:val="0"/>
          <w:sz w:val="24"/>
        </w:rPr>
      </w:pPr>
    </w:p>
    <w:p w14:paraId="128C8DD9" w14:textId="77777777" w:rsidR="00CD4C7B" w:rsidRPr="00B266B0" w:rsidRDefault="00CD4C7B" w:rsidP="00CD4C7B">
      <w:pPr>
        <w:pStyle w:val="Header"/>
        <w:rPr>
          <w:bCs/>
          <w:noProof w:val="0"/>
          <w:sz w:val="24"/>
        </w:rPr>
      </w:pPr>
    </w:p>
    <w:p w14:paraId="352A6F36" w14:textId="62D6588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642AF" w:rsidRPr="00A3065D">
        <w:rPr>
          <w:rFonts w:eastAsiaTheme="minorHAnsi" w:cs="Arial"/>
          <w:b/>
          <w:bCs/>
          <w:sz w:val="24"/>
        </w:rPr>
        <w:t>10.4.1.2</w:t>
      </w:r>
    </w:p>
    <w:p w14:paraId="37F938FE" w14:textId="77777777"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6F0C41F6" w14:textId="3745C0A9"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8F2843">
        <w:rPr>
          <w:rFonts w:ascii="Arial" w:hAnsi="Arial" w:cs="Arial"/>
          <w:b/>
          <w:bCs/>
          <w:sz w:val="24"/>
        </w:rPr>
        <w:t xml:space="preserve">Two set of </w:t>
      </w:r>
      <w:r w:rsidR="00A33324">
        <w:rPr>
          <w:rFonts w:ascii="Arial" w:hAnsi="Arial" w:cs="Arial"/>
          <w:b/>
          <w:bCs/>
          <w:sz w:val="24"/>
        </w:rPr>
        <w:t>NR</w:t>
      </w:r>
      <w:r w:rsidR="008F2843">
        <w:rPr>
          <w:rFonts w:ascii="Arial" w:hAnsi="Arial" w:cs="Arial"/>
          <w:b/>
          <w:bCs/>
          <w:sz w:val="24"/>
        </w:rPr>
        <w:t xml:space="preserve"> UE</w:t>
      </w:r>
      <w:r w:rsidR="00A33324">
        <w:rPr>
          <w:rFonts w:ascii="Arial" w:hAnsi="Arial" w:cs="Arial"/>
          <w:b/>
          <w:bCs/>
          <w:sz w:val="24"/>
        </w:rPr>
        <w:t xml:space="preserve"> </w:t>
      </w:r>
      <w:r w:rsidR="00ED6B49" w:rsidRPr="00ED6B49">
        <w:rPr>
          <w:rFonts w:ascii="Arial" w:hAnsi="Arial" w:cs="Arial"/>
          <w:b/>
          <w:bCs/>
          <w:sz w:val="24"/>
        </w:rPr>
        <w:t>UL in-band e</w:t>
      </w:r>
      <w:r w:rsidR="0080571C">
        <w:rPr>
          <w:rFonts w:ascii="Arial" w:hAnsi="Arial" w:cs="Arial"/>
          <w:b/>
          <w:bCs/>
          <w:sz w:val="24"/>
        </w:rPr>
        <w:t>missions and EVM requirements for</w:t>
      </w:r>
      <w:r w:rsidR="00ED6B49" w:rsidRPr="00ED6B49">
        <w:rPr>
          <w:rFonts w:ascii="Arial" w:hAnsi="Arial" w:cs="Arial"/>
          <w:b/>
          <w:bCs/>
          <w:sz w:val="24"/>
        </w:rPr>
        <w:t xml:space="preserve"> UE Tx</w:t>
      </w:r>
    </w:p>
    <w:p w14:paraId="444B6477"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t>Approval</w:t>
      </w:r>
    </w:p>
    <w:p w14:paraId="1B5A0ADD" w14:textId="77777777" w:rsidR="00CD4C7B" w:rsidRPr="006E13D1" w:rsidRDefault="00CD4C7B" w:rsidP="00CD4C7B">
      <w:pPr>
        <w:pStyle w:val="Heading1"/>
      </w:pPr>
      <w:r w:rsidRPr="006E13D1">
        <w:t>1</w:t>
      </w:r>
      <w:r w:rsidRPr="006E13D1">
        <w:tab/>
      </w:r>
      <w:r w:rsidR="0056573F">
        <w:t>Introduction</w:t>
      </w:r>
    </w:p>
    <w:p w14:paraId="685F8DC2" w14:textId="1948CCCA" w:rsidR="00EC4297" w:rsidRDefault="00EC4297" w:rsidP="00171463">
      <w:pPr>
        <w:spacing w:after="0"/>
        <w:rPr>
          <w:bCs/>
          <w:sz w:val="18"/>
          <w:szCs w:val="18"/>
        </w:rPr>
      </w:pPr>
      <w:r>
        <w:rPr>
          <w:bCs/>
          <w:sz w:val="18"/>
          <w:szCs w:val="18"/>
        </w:rPr>
        <w:t>RAN4 ad</w:t>
      </w:r>
      <w:r w:rsidR="005A36A5">
        <w:rPr>
          <w:bCs/>
          <w:sz w:val="18"/>
          <w:szCs w:val="18"/>
        </w:rPr>
        <w:t xml:space="preserve"> </w:t>
      </w:r>
      <w:r>
        <w:rPr>
          <w:bCs/>
          <w:sz w:val="18"/>
          <w:szCs w:val="18"/>
        </w:rPr>
        <w:t>hoc in January 2017 agreed the following proposal in the contribution [5]</w:t>
      </w:r>
    </w:p>
    <w:p w14:paraId="34CE44A3" w14:textId="77777777" w:rsidR="00EC4297" w:rsidRDefault="00EC4297" w:rsidP="00171463">
      <w:pPr>
        <w:spacing w:after="0"/>
        <w:rPr>
          <w:bCs/>
          <w:sz w:val="18"/>
          <w:szCs w:val="18"/>
        </w:rPr>
      </w:pPr>
    </w:p>
    <w:p w14:paraId="682BF00A" w14:textId="77777777" w:rsidR="00EC4297" w:rsidRPr="00EC4297" w:rsidRDefault="00EC4297" w:rsidP="00EC4297">
      <w:pPr>
        <w:ind w:left="568"/>
        <w:rPr>
          <w:i/>
        </w:rPr>
      </w:pPr>
      <w:r w:rsidRPr="00EC4297">
        <w:rPr>
          <w:i/>
        </w:rPr>
        <w:t>Proposal: In order to enable better UL coverage for CP-OFDM waveform RAN4 should study a possibility to define two sets of in-band emissions and EVM requirements for NR UE Tx; more and less stringent requirements.</w:t>
      </w:r>
    </w:p>
    <w:p w14:paraId="78A48CC4" w14:textId="77777777" w:rsidR="00EC4297" w:rsidRDefault="00EC4297" w:rsidP="00171463">
      <w:pPr>
        <w:spacing w:after="0"/>
        <w:rPr>
          <w:bCs/>
          <w:sz w:val="18"/>
          <w:szCs w:val="18"/>
        </w:rPr>
      </w:pPr>
    </w:p>
    <w:p w14:paraId="5BB932F0" w14:textId="77777777" w:rsidR="00EC4297" w:rsidRPr="00E245FD" w:rsidRDefault="00EC4297" w:rsidP="00EC4297">
      <w:pPr>
        <w:spacing w:after="0"/>
        <w:rPr>
          <w:bCs/>
          <w:sz w:val="18"/>
          <w:szCs w:val="18"/>
        </w:rPr>
      </w:pPr>
      <w:r>
        <w:rPr>
          <w:bCs/>
          <w:sz w:val="18"/>
          <w:szCs w:val="18"/>
        </w:rPr>
        <w:t>In this contribution we</w:t>
      </w:r>
      <w:r w:rsidR="0025374C">
        <w:rPr>
          <w:bCs/>
          <w:sz w:val="18"/>
          <w:szCs w:val="18"/>
        </w:rPr>
        <w:t xml:space="preserve"> continue studies how better UL coverage could be achieved for CP-OFDM waveform by utilizing two set of in-band emission and EVM requirements for NR UE Tx.</w:t>
      </w:r>
      <w:r>
        <w:rPr>
          <w:bCs/>
          <w:sz w:val="18"/>
          <w:szCs w:val="18"/>
        </w:rPr>
        <w:t xml:space="preserve"> </w:t>
      </w:r>
    </w:p>
    <w:p w14:paraId="6AE40537" w14:textId="77777777" w:rsidR="005711AE" w:rsidRPr="00E245FD" w:rsidRDefault="005711AE" w:rsidP="00171463">
      <w:pPr>
        <w:spacing w:after="0"/>
        <w:rPr>
          <w:bCs/>
          <w:sz w:val="18"/>
          <w:szCs w:val="18"/>
        </w:rPr>
      </w:pPr>
    </w:p>
    <w:p w14:paraId="48A8FBA0" w14:textId="77777777" w:rsidR="00CD4C7B" w:rsidRPr="006E13D1" w:rsidRDefault="00C608C8" w:rsidP="00CD4C7B">
      <w:pPr>
        <w:pStyle w:val="Heading1"/>
      </w:pPr>
      <w:r>
        <w:t>2</w:t>
      </w:r>
      <w:r>
        <w:tab/>
      </w:r>
      <w:r w:rsidR="00D13397">
        <w:t>Two sets of UE Tx in-band emissions and EVM requirements</w:t>
      </w:r>
    </w:p>
    <w:p w14:paraId="0F34AE98" w14:textId="74B13D14" w:rsidR="0062549D" w:rsidRDefault="003226A8" w:rsidP="00181DAA">
      <w:pPr>
        <w:rPr>
          <w:lang w:val="en-US"/>
        </w:rPr>
      </w:pPr>
      <w:r>
        <w:t xml:space="preserve">In </w:t>
      </w:r>
      <w:r w:rsidR="007E2049">
        <w:fldChar w:fldCharType="begin"/>
      </w:r>
      <w:r w:rsidR="007E2049">
        <w:instrText xml:space="preserve"> REF _Ref464812693 </w:instrText>
      </w:r>
      <w:r w:rsidR="007E2049">
        <w:fldChar w:fldCharType="separate"/>
      </w:r>
      <w:r w:rsidR="00467B4F">
        <w:t xml:space="preserve">Figure </w:t>
      </w:r>
      <w:r w:rsidR="00467B4F">
        <w:rPr>
          <w:noProof/>
        </w:rPr>
        <w:t>1,</w:t>
      </w:r>
      <w:r w:rsidR="007E2049">
        <w:rPr>
          <w:noProof/>
        </w:rPr>
        <w:fldChar w:fldCharType="end"/>
      </w:r>
      <w:r>
        <w:t xml:space="preserve"> we present</w:t>
      </w:r>
      <w:r w:rsidR="000D1D5E">
        <w:t xml:space="preserve"> as an example</w:t>
      </w:r>
      <w:r>
        <w:t xml:space="preserve"> </w:t>
      </w:r>
      <w:r w:rsidRPr="00355273">
        <w:rPr>
          <w:lang w:val="en-US"/>
        </w:rPr>
        <w:t>PSD</w:t>
      </w:r>
      <w:r w:rsidR="000D1D5E">
        <w:rPr>
          <w:lang w:val="en-US"/>
        </w:rPr>
        <w:t xml:space="preserve"> and EVM</w:t>
      </w:r>
      <w:r w:rsidRPr="00355273">
        <w:rPr>
          <w:lang w:val="en-US"/>
        </w:rPr>
        <w:t xml:space="preserve"> comparison</w:t>
      </w:r>
      <w:r>
        <w:rPr>
          <w:lang w:val="en-US"/>
        </w:rPr>
        <w:t xml:space="preserve"> </w:t>
      </w:r>
      <w:r w:rsidR="000D1D5E">
        <w:rPr>
          <w:lang w:val="en-US"/>
        </w:rPr>
        <w:t>for CP-OFDM UL</w:t>
      </w:r>
      <w:r w:rsidR="00BC5E3A">
        <w:rPr>
          <w:lang w:val="en-US"/>
        </w:rPr>
        <w:t>, when trying to maximize the output power</w:t>
      </w:r>
      <w:r w:rsidR="000D1D5E">
        <w:rPr>
          <w:lang w:val="en-US"/>
        </w:rPr>
        <w:t xml:space="preserve"> with clipping</w:t>
      </w:r>
      <w:r w:rsidR="00181DAA" w:rsidRPr="00181DAA">
        <w:rPr>
          <w:lang w:val="en-US"/>
        </w:rPr>
        <w:t xml:space="preserve"> </w:t>
      </w:r>
      <w:r w:rsidR="00BC5E3A">
        <w:rPr>
          <w:lang w:val="en-US"/>
        </w:rPr>
        <w:t xml:space="preserve">techniques, </w:t>
      </w:r>
      <w:r w:rsidR="00181DAA" w:rsidRPr="000D1D5E">
        <w:rPr>
          <w:lang w:val="en-US"/>
        </w:rPr>
        <w:t xml:space="preserve">in </w:t>
      </w:r>
      <w:r w:rsidR="00BC5E3A">
        <w:rPr>
          <w:lang w:val="en-US"/>
        </w:rPr>
        <w:t xml:space="preserve">a </w:t>
      </w:r>
      <w:r w:rsidR="002D56E0">
        <w:rPr>
          <w:lang w:val="en-US"/>
        </w:rPr>
        <w:t>coverage limited</w:t>
      </w:r>
      <w:r w:rsidR="0062549D">
        <w:rPr>
          <w:lang w:val="en-US"/>
        </w:rPr>
        <w:t xml:space="preserve"> </w:t>
      </w:r>
      <w:r w:rsidR="00181DAA">
        <w:rPr>
          <w:lang w:val="en-US"/>
        </w:rPr>
        <w:t>situation</w:t>
      </w:r>
      <w:r w:rsidR="000D1D5E">
        <w:rPr>
          <w:lang w:val="en-US"/>
        </w:rPr>
        <w:t>.</w:t>
      </w:r>
      <w:r w:rsidR="00181DAA">
        <w:rPr>
          <w:lang w:val="en-US"/>
        </w:rPr>
        <w:t xml:space="preserve"> These initial simulations are done without advanced in-band spectral confinement methods like windowing </w:t>
      </w:r>
      <w:r w:rsidR="00D34E5E">
        <w:rPr>
          <w:lang w:val="en-US"/>
        </w:rPr>
        <w:t xml:space="preserve">or </w:t>
      </w:r>
      <w:r w:rsidR="00181DAA">
        <w:rPr>
          <w:lang w:val="en-US"/>
        </w:rPr>
        <w:t>filtering</w:t>
      </w:r>
      <w:r w:rsidR="0062549D">
        <w:rPr>
          <w:lang w:val="en-US"/>
        </w:rPr>
        <w:t>. These in-band spectral confi</w:t>
      </w:r>
      <w:r w:rsidR="00D60B91">
        <w:rPr>
          <w:lang w:val="en-US"/>
        </w:rPr>
        <w:t>ne</w:t>
      </w:r>
      <w:r w:rsidR="0062549D">
        <w:rPr>
          <w:lang w:val="en-US"/>
        </w:rPr>
        <w:t>ment method</w:t>
      </w:r>
      <w:r w:rsidR="00BC5E3A">
        <w:rPr>
          <w:lang w:val="en-US"/>
        </w:rPr>
        <w:t>s</w:t>
      </w:r>
      <w:r w:rsidR="00181DAA">
        <w:rPr>
          <w:lang w:val="en-US"/>
        </w:rPr>
        <w:t xml:space="preserve"> </w:t>
      </w:r>
      <w:r w:rsidR="00BC5E3A">
        <w:rPr>
          <w:lang w:val="en-US"/>
        </w:rPr>
        <w:t xml:space="preserve">could </w:t>
      </w:r>
      <w:r w:rsidR="0062549D">
        <w:rPr>
          <w:lang w:val="en-US"/>
        </w:rPr>
        <w:t>further</w:t>
      </w:r>
      <w:r w:rsidR="00181DAA">
        <w:rPr>
          <w:lang w:val="en-US"/>
        </w:rPr>
        <w:t xml:space="preserve"> improve t</w:t>
      </w:r>
      <w:r w:rsidR="00B81C48">
        <w:rPr>
          <w:lang w:val="en-US"/>
        </w:rPr>
        <w:t xml:space="preserve">he in-band emission performance. However, </w:t>
      </w:r>
      <w:r w:rsidR="00181DAA">
        <w:rPr>
          <w:lang w:val="en-US"/>
        </w:rPr>
        <w:t xml:space="preserve">even with these advanced spectral confinement </w:t>
      </w:r>
      <w:r w:rsidR="00B81C48">
        <w:rPr>
          <w:lang w:val="en-US"/>
        </w:rPr>
        <w:t>method</w:t>
      </w:r>
      <w:r w:rsidR="00D34E5E">
        <w:rPr>
          <w:lang w:val="en-US"/>
        </w:rPr>
        <w:t>s</w:t>
      </w:r>
      <w:r w:rsidR="00181DAA">
        <w:rPr>
          <w:lang w:val="en-US"/>
        </w:rPr>
        <w:t xml:space="preserve"> the same issue and performance differences will remain</w:t>
      </w:r>
      <w:r w:rsidR="00B81C48">
        <w:rPr>
          <w:lang w:val="en-US"/>
        </w:rPr>
        <w:t xml:space="preserve"> even if the absolute PSD and power levels were different</w:t>
      </w:r>
      <w:r w:rsidR="00181DAA">
        <w:rPr>
          <w:lang w:val="en-US"/>
        </w:rPr>
        <w:t>. Naturally</w:t>
      </w:r>
      <w:r w:rsidR="00F93672">
        <w:rPr>
          <w:lang w:val="en-US"/>
        </w:rPr>
        <w:t>,</w:t>
      </w:r>
      <w:r w:rsidR="00181DAA">
        <w:rPr>
          <w:lang w:val="en-US"/>
        </w:rPr>
        <w:t xml:space="preserve"> in next set of simulations</w:t>
      </w:r>
      <w:r w:rsidR="00D34E5E">
        <w:rPr>
          <w:lang w:val="en-US"/>
        </w:rPr>
        <w:t>,</w:t>
      </w:r>
      <w:r w:rsidR="00181DAA">
        <w:rPr>
          <w:lang w:val="en-US"/>
        </w:rPr>
        <w:t xml:space="preserve"> more advanced spectral confinement methods should also be evaluated. </w:t>
      </w:r>
    </w:p>
    <w:p w14:paraId="0413F60F" w14:textId="2B8028D5" w:rsidR="008F2781" w:rsidRDefault="0062549D" w:rsidP="00181DAA">
      <w:r>
        <w:rPr>
          <w:lang w:val="en-US"/>
        </w:rPr>
        <w:t>Our</w:t>
      </w:r>
      <w:r w:rsidR="00181DAA">
        <w:rPr>
          <w:lang w:val="en-US"/>
        </w:rPr>
        <w:t xml:space="preserve"> example simulation results show that the</w:t>
      </w:r>
      <w:r w:rsidR="000D1D5E" w:rsidRPr="000D1D5E">
        <w:rPr>
          <w:lang w:val="en-US"/>
        </w:rPr>
        <w:t xml:space="preserve"> output power for</w:t>
      </w:r>
      <w:r w:rsidR="00181DAA">
        <w:rPr>
          <w:lang w:val="en-US"/>
        </w:rPr>
        <w:t xml:space="preserve"> UL </w:t>
      </w:r>
      <w:r w:rsidR="000D1D5E" w:rsidRPr="000D1D5E">
        <w:rPr>
          <w:lang w:val="en-US"/>
        </w:rPr>
        <w:t xml:space="preserve">CP-OFDM signal could be increased by </w:t>
      </w:r>
      <w:r w:rsidR="00181DAA">
        <w:rPr>
          <w:lang w:val="en-US"/>
        </w:rPr>
        <w:t xml:space="preserve">using simple </w:t>
      </w:r>
      <w:r w:rsidR="000D1D5E" w:rsidRPr="000D1D5E">
        <w:rPr>
          <w:lang w:val="en-US"/>
        </w:rPr>
        <w:t xml:space="preserve">clipping </w:t>
      </w:r>
      <w:r w:rsidR="000D1D5E" w:rsidRPr="0062549D">
        <w:rPr>
          <w:lang w:val="en-US"/>
        </w:rPr>
        <w:t>algorithm</w:t>
      </w:r>
      <w:r>
        <w:rPr>
          <w:lang w:val="en-US"/>
        </w:rPr>
        <w:t xml:space="preserve"> when allowing slightly worse in</w:t>
      </w:r>
      <w:r w:rsidR="00B92EFB">
        <w:rPr>
          <w:lang w:val="en-US"/>
        </w:rPr>
        <w:t xml:space="preserve">-band emission </w:t>
      </w:r>
      <w:r>
        <w:rPr>
          <w:lang w:val="en-US"/>
        </w:rPr>
        <w:t>performance</w:t>
      </w:r>
      <w:r w:rsidR="00BA73B5" w:rsidRPr="000642AF">
        <w:t>.</w:t>
      </w:r>
      <w:r w:rsidRPr="000642AF">
        <w:t xml:space="preserve"> </w:t>
      </w:r>
      <w:r w:rsidR="00BA73B5" w:rsidRPr="000642AF">
        <w:rPr>
          <w:lang w:val="en-US"/>
        </w:rPr>
        <w:t>S</w:t>
      </w:r>
      <w:r w:rsidR="00181DAA" w:rsidRPr="000642AF">
        <w:rPr>
          <w:lang w:val="en-US"/>
        </w:rPr>
        <w:t>ome</w:t>
      </w:r>
      <w:r w:rsidR="00181DAA" w:rsidRPr="0062549D">
        <w:rPr>
          <w:lang w:val="en-US"/>
        </w:rPr>
        <w:t xml:space="preserve"> further improvement</w:t>
      </w:r>
      <w:r>
        <w:rPr>
          <w:lang w:val="en-US"/>
        </w:rPr>
        <w:t>s compared to the presented results</w:t>
      </w:r>
      <w:r w:rsidR="00181DAA">
        <w:rPr>
          <w:lang w:val="en-US"/>
        </w:rPr>
        <w:t xml:space="preserve"> could</w:t>
      </w:r>
      <w:r w:rsidR="000D1D5E" w:rsidRPr="000D1D5E">
        <w:rPr>
          <w:lang w:val="en-US"/>
        </w:rPr>
        <w:t xml:space="preserve"> be expected </w:t>
      </w:r>
      <w:r w:rsidR="00B92EFB">
        <w:rPr>
          <w:lang w:val="en-US"/>
        </w:rPr>
        <w:t xml:space="preserve">e.g. </w:t>
      </w:r>
      <w:r w:rsidR="000D1D5E" w:rsidRPr="000D1D5E">
        <w:rPr>
          <w:lang w:val="en-US"/>
        </w:rPr>
        <w:t xml:space="preserve">with better crest factor reduction implementations. </w:t>
      </w:r>
      <w:r w:rsidR="00181DAA">
        <w:rPr>
          <w:lang w:val="en-US"/>
        </w:rPr>
        <w:t>In the simulation EVM limit of 15% has been used for QPSK</w:t>
      </w:r>
      <w:r w:rsidR="00506E4A">
        <w:rPr>
          <w:lang w:val="en-US"/>
        </w:rPr>
        <w:t>. The</w:t>
      </w:r>
      <w:r w:rsidR="002D56E0">
        <w:rPr>
          <w:lang w:val="en-US"/>
        </w:rPr>
        <w:t xml:space="preserve"> 15% EVM</w:t>
      </w:r>
      <w:r w:rsidR="00506E4A">
        <w:rPr>
          <w:lang w:val="en-US"/>
        </w:rPr>
        <w:t xml:space="preserve"> limit assumes 2</w:t>
      </w:r>
      <w:r w:rsidR="00A12485">
        <w:rPr>
          <w:lang w:val="en-US"/>
        </w:rPr>
        <w:t>.5</w:t>
      </w:r>
      <w:r w:rsidR="00506E4A">
        <w:rPr>
          <w:lang w:val="en-US"/>
        </w:rPr>
        <w:t>% margin to the 17.5% QPSK requirement defined in TS36.101</w:t>
      </w:r>
      <w:r w:rsidR="00B92EFB">
        <w:rPr>
          <w:lang w:val="en-US"/>
        </w:rPr>
        <w:t>.</w:t>
      </w:r>
      <w:r w:rsidR="00181DAA">
        <w:rPr>
          <w:lang w:val="en-US"/>
        </w:rPr>
        <w:t xml:space="preserve"> </w:t>
      </w:r>
      <w:r w:rsidR="00506E4A">
        <w:rPr>
          <w:lang w:val="en-US"/>
        </w:rPr>
        <w:t xml:space="preserve">In the simulations the </w:t>
      </w:r>
      <w:r w:rsidR="00181DAA">
        <w:rPr>
          <w:lang w:val="en-US"/>
        </w:rPr>
        <w:t>signal always meet</w:t>
      </w:r>
      <w:r w:rsidR="00B92EFB">
        <w:rPr>
          <w:lang w:val="en-US"/>
        </w:rPr>
        <w:t>s</w:t>
      </w:r>
      <w:r w:rsidR="00181DAA">
        <w:rPr>
          <w:lang w:val="en-US"/>
        </w:rPr>
        <w:t xml:space="preserve"> the required EVM limit</w:t>
      </w:r>
      <w:r w:rsidR="002D56E0">
        <w:rPr>
          <w:lang w:val="en-US"/>
        </w:rPr>
        <w:t xml:space="preserve"> and thus the corresponding LTE requirement</w:t>
      </w:r>
      <w:r w:rsidR="00B92EFB">
        <w:rPr>
          <w:lang w:val="en-US"/>
        </w:rPr>
        <w:t xml:space="preserve"> with margin</w:t>
      </w:r>
      <w:r w:rsidR="00181DAA">
        <w:rPr>
          <w:lang w:val="en-US"/>
        </w:rPr>
        <w:t xml:space="preserve">. </w:t>
      </w:r>
      <w:r w:rsidR="00B92EFB">
        <w:rPr>
          <w:lang w:val="en-US"/>
        </w:rPr>
        <w:t>F</w:t>
      </w:r>
      <w:r w:rsidR="00B81C48">
        <w:t xml:space="preserve">ixed channel filter </w:t>
      </w:r>
      <w:r w:rsidR="00B92EFB">
        <w:t xml:space="preserve">is used to </w:t>
      </w:r>
      <w:r w:rsidR="00B81C48">
        <w:t>attenuate out-of-band emissions caused by clipping</w:t>
      </w:r>
      <w:r w:rsidR="008F2781">
        <w:t xml:space="preserve">. </w:t>
      </w:r>
    </w:p>
    <w:p w14:paraId="0CD34E61" w14:textId="63158100" w:rsidR="008F2781" w:rsidRPr="008F2781" w:rsidRDefault="008F2781" w:rsidP="008F2781">
      <w:r>
        <w:t xml:space="preserve">Additional UE Tx power for CP-OFDM signal could be achieved by enabling also higher EVM limit. This is also something that should be investigated for UL coverage limited cases similarly as RAN1 has been looking at low PAPR </w:t>
      </w:r>
      <w:r w:rsidRPr="006A3922">
        <w:t>techniques</w:t>
      </w:r>
      <w:r>
        <w:t xml:space="preserve"> like rotated modulations (e.g. </w:t>
      </w:r>
      <w:r>
        <w:rPr>
          <w:rFonts w:eastAsia="MS Mincho"/>
          <w:lang w:eastAsia="ja-JP"/>
        </w:rPr>
        <w:t>pi/2-BPSK and pi/4-QPSK) for improving DFT-S-OFDM UL coverage.</w:t>
      </w:r>
    </w:p>
    <w:p w14:paraId="2172AA2B" w14:textId="77777777" w:rsidR="000D1D5E" w:rsidRDefault="000D1D5E" w:rsidP="00357FD7"/>
    <w:p w14:paraId="46F6FFAC" w14:textId="7B6E4582" w:rsidR="00C81D15" w:rsidRDefault="00C81D15" w:rsidP="0062549D">
      <w:pPr>
        <w:pStyle w:val="00BodyText"/>
        <w:spacing w:after="0"/>
        <w:ind w:right="-849" w:hanging="426"/>
        <w:rPr>
          <w:lang w:val="en-GB"/>
        </w:rPr>
      </w:pPr>
      <w:r>
        <w:rPr>
          <w:noProof/>
          <w:lang w:val="fi-FI" w:eastAsia="fi-FI"/>
        </w:rPr>
        <w:lastRenderedPageBreak/>
        <w:drawing>
          <wp:inline distT="0" distB="0" distL="0" distR="0" wp14:anchorId="1B1F50D4" wp14:editId="40FF62EC">
            <wp:extent cx="3470400" cy="2599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bsolute_ibe_evm.png"/>
                    <pic:cNvPicPr/>
                  </pic:nvPicPr>
                  <pic:blipFill>
                    <a:blip r:embed="rId8">
                      <a:extLst>
                        <a:ext uri="{28A0092B-C50C-407E-A947-70E740481C1C}">
                          <a14:useLocalDpi xmlns:a14="http://schemas.microsoft.com/office/drawing/2010/main" val="0"/>
                        </a:ext>
                      </a:extLst>
                    </a:blip>
                    <a:stretch>
                      <a:fillRect/>
                    </a:stretch>
                  </pic:blipFill>
                  <pic:spPr bwMode="auto">
                    <a:xfrm>
                      <a:off x="0" y="0"/>
                      <a:ext cx="3470400" cy="2599200"/>
                    </a:xfrm>
                    <a:prstGeom prst="rect">
                      <a:avLst/>
                    </a:prstGeom>
                    <a:ln>
                      <a:noFill/>
                    </a:ln>
                    <a:extLst>
                      <a:ext uri="{53640926-AAD7-44D8-BBD7-CCE9431645EC}">
                        <a14:shadowObscured xmlns:a14="http://schemas.microsoft.com/office/drawing/2010/main"/>
                      </a:ext>
                    </a:extLst>
                  </pic:spPr>
                </pic:pic>
              </a:graphicData>
            </a:graphic>
          </wp:inline>
        </w:drawing>
      </w:r>
      <w:r>
        <w:rPr>
          <w:noProof/>
          <w:lang w:val="fi-FI" w:eastAsia="fi-FI"/>
        </w:rPr>
        <w:drawing>
          <wp:inline distT="0" distB="0" distL="0" distR="0" wp14:anchorId="2D80BE2A" wp14:editId="54A651F9">
            <wp:extent cx="3380449" cy="25990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ormalized_ibe_evm.png"/>
                    <pic:cNvPicPr/>
                  </pic:nvPicPr>
                  <pic:blipFill rotWithShape="1">
                    <a:blip r:embed="rId9">
                      <a:extLst>
                        <a:ext uri="{28A0092B-C50C-407E-A947-70E740481C1C}">
                          <a14:useLocalDpi xmlns:a14="http://schemas.microsoft.com/office/drawing/2010/main" val="0"/>
                        </a:ext>
                      </a:extLst>
                    </a:blip>
                    <a:srcRect l="2587"/>
                    <a:stretch/>
                  </pic:blipFill>
                  <pic:spPr bwMode="auto">
                    <a:xfrm>
                      <a:off x="0" y="0"/>
                      <a:ext cx="3380638" cy="2599200"/>
                    </a:xfrm>
                    <a:prstGeom prst="rect">
                      <a:avLst/>
                    </a:prstGeom>
                    <a:ln>
                      <a:noFill/>
                    </a:ln>
                    <a:extLst>
                      <a:ext uri="{53640926-AAD7-44D8-BBD7-CCE9431645EC}">
                        <a14:shadowObscured xmlns:a14="http://schemas.microsoft.com/office/drawing/2010/main"/>
                      </a:ext>
                    </a:extLst>
                  </pic:spPr>
                </pic:pic>
              </a:graphicData>
            </a:graphic>
          </wp:inline>
        </w:drawing>
      </w:r>
    </w:p>
    <w:p w14:paraId="4C45B043" w14:textId="77777777" w:rsidR="00F41F1B" w:rsidRDefault="00F41F1B" w:rsidP="00F41F1B">
      <w:pPr>
        <w:pStyle w:val="00BodyText"/>
        <w:spacing w:after="0"/>
        <w:ind w:right="-849" w:hanging="426"/>
        <w:rPr>
          <w:lang w:val="en-GB"/>
        </w:rPr>
      </w:pPr>
      <w:r>
        <w:rPr>
          <w:noProof/>
          <w:lang w:val="fi-FI" w:eastAsia="fi-FI"/>
        </w:rPr>
        <w:drawing>
          <wp:inline distT="0" distB="0" distL="0" distR="0" wp14:anchorId="2887D588" wp14:editId="5B6A709F">
            <wp:extent cx="3470400" cy="2598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bsolute_ibe_evm.png"/>
                    <pic:cNvPicPr/>
                  </pic:nvPicPr>
                  <pic:blipFill>
                    <a:blip r:embed="rId10">
                      <a:extLst>
                        <a:ext uri="{28A0092B-C50C-407E-A947-70E740481C1C}">
                          <a14:useLocalDpi xmlns:a14="http://schemas.microsoft.com/office/drawing/2010/main" val="0"/>
                        </a:ext>
                      </a:extLst>
                    </a:blip>
                    <a:stretch>
                      <a:fillRect/>
                    </a:stretch>
                  </pic:blipFill>
                  <pic:spPr bwMode="auto">
                    <a:xfrm>
                      <a:off x="0" y="0"/>
                      <a:ext cx="3470400" cy="2598160"/>
                    </a:xfrm>
                    <a:prstGeom prst="rect">
                      <a:avLst/>
                    </a:prstGeom>
                    <a:ln>
                      <a:noFill/>
                    </a:ln>
                    <a:extLst>
                      <a:ext uri="{53640926-AAD7-44D8-BBD7-CCE9431645EC}">
                        <a14:shadowObscured xmlns:a14="http://schemas.microsoft.com/office/drawing/2010/main"/>
                      </a:ext>
                    </a:extLst>
                  </pic:spPr>
                </pic:pic>
              </a:graphicData>
            </a:graphic>
          </wp:inline>
        </w:drawing>
      </w:r>
      <w:r>
        <w:rPr>
          <w:noProof/>
          <w:lang w:val="fi-FI" w:eastAsia="fi-FI"/>
        </w:rPr>
        <w:drawing>
          <wp:inline distT="0" distB="0" distL="0" distR="0" wp14:anchorId="65658D05" wp14:editId="195B83B2">
            <wp:extent cx="3389630" cy="259486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ormalized_ibe_evm.png"/>
                    <pic:cNvPicPr/>
                  </pic:nvPicPr>
                  <pic:blipFill rotWithShape="1">
                    <a:blip r:embed="rId11">
                      <a:extLst>
                        <a:ext uri="{28A0092B-C50C-407E-A947-70E740481C1C}">
                          <a14:useLocalDpi xmlns:a14="http://schemas.microsoft.com/office/drawing/2010/main" val="0"/>
                        </a:ext>
                      </a:extLst>
                    </a:blip>
                    <a:srcRect l="2198"/>
                    <a:stretch/>
                  </pic:blipFill>
                  <pic:spPr bwMode="auto">
                    <a:xfrm>
                      <a:off x="0" y="0"/>
                      <a:ext cx="3390597" cy="2595600"/>
                    </a:xfrm>
                    <a:prstGeom prst="rect">
                      <a:avLst/>
                    </a:prstGeom>
                    <a:ln>
                      <a:noFill/>
                    </a:ln>
                    <a:extLst>
                      <a:ext uri="{53640926-AAD7-44D8-BBD7-CCE9431645EC}">
                        <a14:shadowObscured xmlns:a14="http://schemas.microsoft.com/office/drawing/2010/main"/>
                      </a:ext>
                    </a:extLst>
                  </pic:spPr>
                </pic:pic>
              </a:graphicData>
            </a:graphic>
          </wp:inline>
        </w:drawing>
      </w:r>
    </w:p>
    <w:p w14:paraId="506D96B2" w14:textId="77777777" w:rsidR="00F41F1B" w:rsidRDefault="00F41F1B" w:rsidP="0062549D">
      <w:pPr>
        <w:pStyle w:val="00BodyText"/>
        <w:spacing w:after="0"/>
        <w:ind w:right="-849" w:hanging="426"/>
        <w:rPr>
          <w:lang w:val="en-GB"/>
        </w:rPr>
      </w:pPr>
    </w:p>
    <w:p w14:paraId="7CED0998" w14:textId="47618679" w:rsidR="00B407B7" w:rsidRPr="00C81D15" w:rsidRDefault="003226A8" w:rsidP="003226A8">
      <w:pPr>
        <w:pStyle w:val="Caption"/>
        <w:jc w:val="center"/>
      </w:pPr>
      <w:bookmarkStart w:id="0" w:name="_Ref464812693"/>
      <w:r w:rsidRPr="000642AF">
        <w:t xml:space="preserve">Figure </w:t>
      </w:r>
      <w:r w:rsidR="007E2049">
        <w:fldChar w:fldCharType="begin"/>
      </w:r>
      <w:r w:rsidR="007E2049">
        <w:instrText xml:space="preserve"> S</w:instrText>
      </w:r>
      <w:r w:rsidR="007E2049">
        <w:instrText xml:space="preserve">EQ Figure \* ARABIC </w:instrText>
      </w:r>
      <w:r w:rsidR="007E2049">
        <w:fldChar w:fldCharType="separate"/>
      </w:r>
      <w:r w:rsidR="00467B4F" w:rsidRPr="000642AF">
        <w:t>1</w:t>
      </w:r>
      <w:r w:rsidR="007E2049">
        <w:fldChar w:fldCharType="end"/>
      </w:r>
      <w:bookmarkEnd w:id="0"/>
      <w:r w:rsidRPr="000642AF">
        <w:t xml:space="preserve">: </w:t>
      </w:r>
      <w:r w:rsidR="00C81D15" w:rsidRPr="000642AF">
        <w:t xml:space="preserve">CP-OFDM in-band emissions and EVM performance (absolute and relative plots) at maximum achievable </w:t>
      </w:r>
      <w:r w:rsidR="0062549D">
        <w:t xml:space="preserve">UE Tx </w:t>
      </w:r>
      <w:r w:rsidR="00C81D15" w:rsidRPr="000642AF">
        <w:t>output power in coverage</w:t>
      </w:r>
      <w:r w:rsidR="00A12485" w:rsidRPr="000642AF">
        <w:t xml:space="preserve"> limited</w:t>
      </w:r>
      <w:r w:rsidR="00C81D15" w:rsidRPr="000642AF">
        <w:t xml:space="preserve"> </w:t>
      </w:r>
      <w:r w:rsidR="0062549D">
        <w:t>case</w:t>
      </w:r>
      <w:r w:rsidR="00C81D15" w:rsidRPr="000642AF">
        <w:t>.</w:t>
      </w:r>
      <w:r w:rsidR="00C81D15">
        <w:t xml:space="preserve"> </w:t>
      </w:r>
      <w:r w:rsidR="00BC5E3A">
        <w:t>The in-band emissions of the unclipped QPSK at 20 dBm output power are similar to DFT-s-OFDM at 23 dBm.</w:t>
      </w:r>
      <w:r w:rsidR="00085902">
        <w:t xml:space="preserve"> Pushing the CP-OFDM output power beyond this will increase the in-band emissions immediately adjacent to the PRB allocation.</w:t>
      </w:r>
    </w:p>
    <w:p w14:paraId="2C95FA24" w14:textId="19E6B177" w:rsidR="00E302E3" w:rsidRPr="0062549D" w:rsidRDefault="00E302E3" w:rsidP="00357FD7">
      <w:r>
        <w:t xml:space="preserve">In order to </w:t>
      </w:r>
      <w:r w:rsidRPr="0062549D">
        <w:t>allow balancing between in-band emission performance and UE Tx power it would seem attractive to define two set of in-band emission and EVM requirements. For instance, as “default” minimum performance requirement the UE would need to meet the more stringent in-band emission and EVM requirements needed for enabling higher MCS</w:t>
      </w:r>
      <w:r w:rsidR="0070507A" w:rsidRPr="0062549D">
        <w:t>.</w:t>
      </w:r>
      <w:r w:rsidRPr="0062549D">
        <w:t xml:space="preserve"> </w:t>
      </w:r>
      <w:r w:rsidR="0070507A" w:rsidRPr="0062549D">
        <w:t>In practise</w:t>
      </w:r>
      <w:r w:rsidR="002D56E0" w:rsidRPr="0062549D">
        <w:t>,</w:t>
      </w:r>
      <w:r w:rsidR="0070507A" w:rsidRPr="0062549D">
        <w:t xml:space="preserve"> this would mean </w:t>
      </w:r>
      <w:r w:rsidRPr="0062549D">
        <w:t xml:space="preserve">achieving </w:t>
      </w:r>
      <w:r w:rsidR="0070507A" w:rsidRPr="0062549D">
        <w:t xml:space="preserve">a </w:t>
      </w:r>
      <w:r w:rsidRPr="0062549D">
        <w:t xml:space="preserve">good spectral efficiency. </w:t>
      </w:r>
    </w:p>
    <w:p w14:paraId="10A9FC8A" w14:textId="18E526B2" w:rsidR="00E302E3" w:rsidRDefault="00E302E3" w:rsidP="00E302E3">
      <w:r w:rsidRPr="0062549D">
        <w:t>Additionally</w:t>
      </w:r>
      <w:r w:rsidR="005A36A5">
        <w:t>,</w:t>
      </w:r>
      <w:r w:rsidRPr="0062549D">
        <w:t xml:space="preserve"> more relaxed </w:t>
      </w:r>
      <w:r w:rsidRPr="000642AF">
        <w:t>“</w:t>
      </w:r>
      <w:r w:rsidR="002D56E0" w:rsidRPr="000642AF">
        <w:t>coverage limited case</w:t>
      </w:r>
      <w:r w:rsidRPr="000642AF">
        <w:t xml:space="preserve">” </w:t>
      </w:r>
      <w:r w:rsidRPr="0062549D">
        <w:t>in-band emission and EVM requirements could be defined for the UE to allow the UE to</w:t>
      </w:r>
      <w:r w:rsidR="00C24683" w:rsidRPr="0062549D">
        <w:t xml:space="preserve"> use</w:t>
      </w:r>
      <w:r w:rsidRPr="0062549D">
        <w:t xml:space="preserve"> techniques like clipping to boost its Tx power at cost of degraded signal quality and/or additional unwanted in-band emissions to adjacent resources. </w:t>
      </w:r>
      <w:r w:rsidR="00C24683" w:rsidRPr="0062549D">
        <w:t xml:space="preserve"> The network would then control when these more relaxed </w:t>
      </w:r>
      <w:r w:rsidR="00C24683" w:rsidRPr="000642AF">
        <w:t>“</w:t>
      </w:r>
      <w:r w:rsidR="002D56E0" w:rsidRPr="000642AF">
        <w:t>coverage limited case</w:t>
      </w:r>
      <w:r w:rsidR="00C24683" w:rsidRPr="000642AF">
        <w:t>”</w:t>
      </w:r>
      <w:r w:rsidR="00C24683" w:rsidRPr="0062549D">
        <w:t xml:space="preserve"> requirements can be used by UE for increasing its transmit power</w:t>
      </w:r>
      <w:r w:rsidR="0070507A" w:rsidRPr="0062549D">
        <w:t>.</w:t>
      </w:r>
      <w:r w:rsidR="002D56E0" w:rsidRPr="0062549D">
        <w:t xml:space="preserve"> </w:t>
      </w:r>
      <w:r w:rsidR="0070507A" w:rsidRPr="0062549D">
        <w:t xml:space="preserve">Similarly the network </w:t>
      </w:r>
      <w:r w:rsidR="00C24683" w:rsidRPr="0062549D">
        <w:t>is expected to control when the UE is allowed to move from the baseline CP-OFDM UL transmission to DFT-S-OFDM transmission for enabling higher UE Tx power. In this way the network would be able to better optimize the overall system operations and decide whether to allow the UE to use DFT-S-OFDM or enable more relaxed in-band emission and EVM requirements for UL transmission.</w:t>
      </w:r>
      <w:r w:rsidR="00C24683">
        <w:t xml:space="preserve">  </w:t>
      </w:r>
    </w:p>
    <w:p w14:paraId="6449FC38" w14:textId="77777777" w:rsidR="00855460" w:rsidRPr="0062549D" w:rsidRDefault="00A42CEF" w:rsidP="00357FD7">
      <w:pPr>
        <w:rPr>
          <w:b/>
        </w:rPr>
      </w:pPr>
      <w:r w:rsidRPr="0062549D">
        <w:rPr>
          <w:b/>
        </w:rPr>
        <w:t>Proposal</w:t>
      </w:r>
      <w:r w:rsidR="007B38DC" w:rsidRPr="0062549D">
        <w:rPr>
          <w:b/>
        </w:rPr>
        <w:t xml:space="preserve"> 1</w:t>
      </w:r>
      <w:r w:rsidR="00855460" w:rsidRPr="0062549D">
        <w:rPr>
          <w:b/>
        </w:rPr>
        <w:t xml:space="preserve">: </w:t>
      </w:r>
      <w:r w:rsidR="00644812" w:rsidRPr="0062549D">
        <w:rPr>
          <w:b/>
        </w:rPr>
        <w:t xml:space="preserve">RAN4 should study </w:t>
      </w:r>
      <w:r w:rsidR="007B5E5E" w:rsidRPr="0062549D">
        <w:rPr>
          <w:b/>
        </w:rPr>
        <w:t>two</w:t>
      </w:r>
      <w:r w:rsidR="00855460" w:rsidRPr="0062549D">
        <w:rPr>
          <w:b/>
        </w:rPr>
        <w:t xml:space="preserve"> set</w:t>
      </w:r>
      <w:r w:rsidR="007B5E5E" w:rsidRPr="0062549D">
        <w:rPr>
          <w:b/>
        </w:rPr>
        <w:t>s</w:t>
      </w:r>
      <w:r w:rsidR="00855460" w:rsidRPr="0062549D">
        <w:rPr>
          <w:b/>
        </w:rPr>
        <w:t xml:space="preserve"> of in-band emission</w:t>
      </w:r>
      <w:r w:rsidR="002500C4" w:rsidRPr="0062549D">
        <w:rPr>
          <w:b/>
        </w:rPr>
        <w:t>s</w:t>
      </w:r>
      <w:r w:rsidR="007B5E5E" w:rsidRPr="0062549D">
        <w:rPr>
          <w:b/>
        </w:rPr>
        <w:t xml:space="preserve"> and EVM</w:t>
      </w:r>
      <w:r w:rsidR="00855460" w:rsidRPr="0062549D">
        <w:rPr>
          <w:b/>
        </w:rPr>
        <w:t xml:space="preserve"> requirements</w:t>
      </w:r>
      <w:r w:rsidR="00644812" w:rsidRPr="0062549D">
        <w:rPr>
          <w:b/>
        </w:rPr>
        <w:t xml:space="preserve"> for NR </w:t>
      </w:r>
      <w:r w:rsidRPr="0062549D">
        <w:rPr>
          <w:b/>
        </w:rPr>
        <w:t>UE Tx</w:t>
      </w:r>
      <w:r w:rsidR="00C24683" w:rsidRPr="0062549D">
        <w:rPr>
          <w:b/>
        </w:rPr>
        <w:t xml:space="preserve"> based on the following assumptions:</w:t>
      </w:r>
    </w:p>
    <w:p w14:paraId="055DD221" w14:textId="259E01A0" w:rsidR="00C24683" w:rsidRPr="0062549D" w:rsidRDefault="00C24683" w:rsidP="007B38DC">
      <w:pPr>
        <w:pStyle w:val="ListParagraph"/>
        <w:numPr>
          <w:ilvl w:val="0"/>
          <w:numId w:val="39"/>
        </w:numPr>
        <w:rPr>
          <w:b/>
          <w:sz w:val="20"/>
          <w:lang w:val="en-US"/>
        </w:rPr>
      </w:pPr>
      <w:r w:rsidRPr="0062549D">
        <w:rPr>
          <w:b/>
          <w:sz w:val="20"/>
          <w:lang w:val="en-US"/>
        </w:rPr>
        <w:t>“Default” UE minimum performance requirements would be defined as more stringent in-band emission and EVM requirements enabling higher MCS and achieving good spectral efficiency.</w:t>
      </w:r>
    </w:p>
    <w:p w14:paraId="7B52F109" w14:textId="4AB4AEC9" w:rsidR="00C24683" w:rsidRPr="007B38DC" w:rsidRDefault="00C24683" w:rsidP="007B38DC">
      <w:pPr>
        <w:pStyle w:val="ListParagraph"/>
        <w:numPr>
          <w:ilvl w:val="0"/>
          <w:numId w:val="39"/>
        </w:numPr>
        <w:rPr>
          <w:b/>
          <w:sz w:val="20"/>
          <w:lang w:val="en-US"/>
        </w:rPr>
      </w:pPr>
      <w:r w:rsidRPr="0062549D">
        <w:rPr>
          <w:b/>
          <w:sz w:val="20"/>
          <w:lang w:val="en-US"/>
        </w:rPr>
        <w:lastRenderedPageBreak/>
        <w:t>Additional more relaxed “</w:t>
      </w:r>
      <w:r w:rsidRPr="000642AF">
        <w:rPr>
          <w:b/>
          <w:sz w:val="20"/>
          <w:lang w:val="en-US"/>
        </w:rPr>
        <w:t>coverage</w:t>
      </w:r>
      <w:r w:rsidR="0070507A" w:rsidRPr="000642AF">
        <w:rPr>
          <w:b/>
          <w:sz w:val="20"/>
          <w:lang w:val="en-US"/>
        </w:rPr>
        <w:t xml:space="preserve"> limited case</w:t>
      </w:r>
      <w:r w:rsidRPr="000642AF">
        <w:rPr>
          <w:b/>
          <w:sz w:val="20"/>
          <w:lang w:val="en-US"/>
        </w:rPr>
        <w:t xml:space="preserve">” </w:t>
      </w:r>
      <w:r w:rsidR="007B38DC" w:rsidRPr="0062549D">
        <w:rPr>
          <w:b/>
          <w:sz w:val="20"/>
          <w:lang w:val="en-US"/>
        </w:rPr>
        <w:t xml:space="preserve">UE </w:t>
      </w:r>
      <w:r w:rsidRPr="0062549D">
        <w:rPr>
          <w:b/>
          <w:sz w:val="20"/>
          <w:lang w:val="en-US"/>
        </w:rPr>
        <w:t>in-band emission and EVM requirements would allow UE to</w:t>
      </w:r>
      <w:r w:rsidR="007B38DC" w:rsidRPr="0062549D">
        <w:rPr>
          <w:b/>
          <w:sz w:val="20"/>
          <w:lang w:val="en-US"/>
        </w:rPr>
        <w:t xml:space="preserve"> use techniques for higher UE Tx power at cost of worse in-band</w:t>
      </w:r>
      <w:r w:rsidR="007B38DC" w:rsidRPr="007B38DC">
        <w:rPr>
          <w:b/>
          <w:sz w:val="20"/>
          <w:lang w:val="en-US"/>
        </w:rPr>
        <w:t xml:space="preserve"> emission and EVM requirements</w:t>
      </w:r>
    </w:p>
    <w:p w14:paraId="37F5D730" w14:textId="3AFD67CC" w:rsidR="00C24683" w:rsidRPr="0062549D" w:rsidRDefault="007B38DC" w:rsidP="007B38DC">
      <w:pPr>
        <w:pStyle w:val="ListParagraph"/>
        <w:numPr>
          <w:ilvl w:val="0"/>
          <w:numId w:val="39"/>
        </w:numPr>
        <w:rPr>
          <w:b/>
          <w:sz w:val="20"/>
          <w:lang w:val="en-US"/>
        </w:rPr>
      </w:pPr>
      <w:r w:rsidRPr="007B38DC">
        <w:rPr>
          <w:b/>
          <w:sz w:val="20"/>
          <w:lang w:val="en-US"/>
        </w:rPr>
        <w:t xml:space="preserve">The usage of the </w:t>
      </w:r>
      <w:r w:rsidRPr="0062549D">
        <w:rPr>
          <w:b/>
          <w:sz w:val="20"/>
          <w:lang w:val="en-US"/>
        </w:rPr>
        <w:t>additional more relaxed “</w:t>
      </w:r>
      <w:r w:rsidR="0070507A" w:rsidRPr="000642AF">
        <w:rPr>
          <w:b/>
          <w:sz w:val="20"/>
          <w:lang w:val="en-US"/>
        </w:rPr>
        <w:t>coverage limited case</w:t>
      </w:r>
      <w:r w:rsidRPr="0062549D">
        <w:rPr>
          <w:b/>
          <w:sz w:val="20"/>
          <w:lang w:val="en-US"/>
        </w:rPr>
        <w:t>” in-band emission and EVM requirements would be controlled by the network.</w:t>
      </w:r>
    </w:p>
    <w:p w14:paraId="6D4D1C15" w14:textId="77777777" w:rsidR="00BF4DCA" w:rsidRPr="0062549D" w:rsidRDefault="00BF4DCA" w:rsidP="00357FD7">
      <w:pPr>
        <w:rPr>
          <w:b/>
        </w:rPr>
      </w:pPr>
    </w:p>
    <w:p w14:paraId="423B550E" w14:textId="77777777" w:rsidR="00CD4C7B" w:rsidRPr="0062549D" w:rsidRDefault="00C608C8" w:rsidP="00CD4C7B">
      <w:pPr>
        <w:pStyle w:val="Heading1"/>
      </w:pPr>
      <w:r w:rsidRPr="0062549D">
        <w:t>3</w:t>
      </w:r>
      <w:r w:rsidRPr="0062549D">
        <w:tab/>
        <w:t>Conclusion</w:t>
      </w:r>
      <w:r w:rsidR="00F909AE" w:rsidRPr="0062549D">
        <w:t>s</w:t>
      </w:r>
    </w:p>
    <w:p w14:paraId="793AC4A3" w14:textId="77777777" w:rsidR="00BF4DCA" w:rsidRPr="0062549D" w:rsidRDefault="00BF4DCA" w:rsidP="00BF4DCA">
      <w:pPr>
        <w:spacing w:after="0"/>
        <w:rPr>
          <w:rFonts w:cs="v5.0.0"/>
        </w:rPr>
      </w:pPr>
      <w:r w:rsidRPr="0062549D">
        <w:rPr>
          <w:rFonts w:cs="v5.0.0"/>
        </w:rPr>
        <w:t xml:space="preserve">In this contribution, we have continued discussion and analyses for two sets of UE Tx in-band emission and EVM requirements to enable better UL coverage for CP-OFDM waveform. This would reduce the need for changing from CP-OFDM waveform to DFT-S-OFDM waveform for coverage edge UEs and thereby simplifying NR operations in some NR deployment scenarios. Based on the discussion we propose the following further assumptions for RAN4 studies on two sets of in-band emissions and EVM requirements for NR UE Tx. </w:t>
      </w:r>
    </w:p>
    <w:p w14:paraId="5E969727" w14:textId="77777777" w:rsidR="00BF4DCA" w:rsidRPr="0062549D" w:rsidRDefault="00BF4DCA" w:rsidP="00BF4DCA">
      <w:pPr>
        <w:spacing w:after="0"/>
        <w:rPr>
          <w:rFonts w:cs="v5.0.0"/>
        </w:rPr>
      </w:pPr>
    </w:p>
    <w:p w14:paraId="243D24A1" w14:textId="0370A501" w:rsidR="0070507A" w:rsidRPr="0062549D" w:rsidRDefault="00BF4DCA" w:rsidP="0062549D">
      <w:pPr>
        <w:rPr>
          <w:b/>
          <w:lang w:val="en-US"/>
        </w:rPr>
      </w:pPr>
      <w:r w:rsidRPr="0062549D">
        <w:rPr>
          <w:b/>
        </w:rPr>
        <w:t>Proposal 1: RAN4 should study two sets of in-band emissions and EVM requirements for NR UE Tx based on the following assumptions:</w:t>
      </w:r>
    </w:p>
    <w:p w14:paraId="41AF2392" w14:textId="77777777" w:rsidR="0070507A" w:rsidRPr="0062549D" w:rsidRDefault="0070507A" w:rsidP="0070507A">
      <w:pPr>
        <w:pStyle w:val="ListParagraph"/>
        <w:numPr>
          <w:ilvl w:val="0"/>
          <w:numId w:val="41"/>
        </w:numPr>
        <w:rPr>
          <w:b/>
          <w:sz w:val="20"/>
          <w:lang w:val="en-US"/>
        </w:rPr>
      </w:pPr>
      <w:r w:rsidRPr="0062549D">
        <w:rPr>
          <w:b/>
          <w:sz w:val="20"/>
          <w:lang w:val="en-US"/>
        </w:rPr>
        <w:t>“Default” UE minimum performance requirements would be defined as more stringent in-band emission and EVM requirements enabling higher MCS and achieving good spectral efficiency.</w:t>
      </w:r>
    </w:p>
    <w:p w14:paraId="76F471BA" w14:textId="77777777" w:rsidR="0070507A" w:rsidRPr="0062549D" w:rsidRDefault="0070507A" w:rsidP="0070507A">
      <w:pPr>
        <w:pStyle w:val="ListParagraph"/>
        <w:numPr>
          <w:ilvl w:val="0"/>
          <w:numId w:val="41"/>
        </w:numPr>
        <w:rPr>
          <w:b/>
          <w:sz w:val="20"/>
          <w:lang w:val="en-US"/>
        </w:rPr>
      </w:pPr>
      <w:r w:rsidRPr="0062549D">
        <w:rPr>
          <w:b/>
          <w:sz w:val="20"/>
          <w:lang w:val="en-US"/>
        </w:rPr>
        <w:t>Additional more relaxed “</w:t>
      </w:r>
      <w:r w:rsidRPr="000642AF">
        <w:rPr>
          <w:b/>
          <w:sz w:val="20"/>
          <w:lang w:val="en-US"/>
        </w:rPr>
        <w:t xml:space="preserve">coverage limited case” </w:t>
      </w:r>
      <w:r w:rsidRPr="0062549D">
        <w:rPr>
          <w:b/>
          <w:sz w:val="20"/>
          <w:lang w:val="en-US"/>
        </w:rPr>
        <w:t>UE in-band emission and EVM requirements would allow UE to use techniques for higher UE Tx power at cost of worse in-band emission and EVM requirements</w:t>
      </w:r>
    </w:p>
    <w:p w14:paraId="1ABBD6AC" w14:textId="77777777" w:rsidR="0070507A" w:rsidRPr="0062549D" w:rsidRDefault="0070507A" w:rsidP="0070507A">
      <w:pPr>
        <w:pStyle w:val="ListParagraph"/>
        <w:numPr>
          <w:ilvl w:val="0"/>
          <w:numId w:val="41"/>
        </w:numPr>
        <w:rPr>
          <w:b/>
          <w:sz w:val="20"/>
          <w:lang w:val="en-US"/>
        </w:rPr>
      </w:pPr>
      <w:r w:rsidRPr="0062549D">
        <w:rPr>
          <w:b/>
          <w:sz w:val="20"/>
          <w:lang w:val="en-US"/>
        </w:rPr>
        <w:t>The usage of the additional more relaxed “</w:t>
      </w:r>
      <w:r w:rsidRPr="000642AF">
        <w:rPr>
          <w:b/>
          <w:sz w:val="20"/>
          <w:lang w:val="en-US"/>
        </w:rPr>
        <w:t>coverage limited case</w:t>
      </w:r>
      <w:r w:rsidRPr="0062549D">
        <w:rPr>
          <w:b/>
          <w:sz w:val="20"/>
          <w:lang w:val="en-US"/>
        </w:rPr>
        <w:t>” in-band emission and EVM requirements would be controlled by the network.</w:t>
      </w:r>
    </w:p>
    <w:p w14:paraId="3D9BD99F" w14:textId="77777777" w:rsidR="00BF4DCA" w:rsidRDefault="00BF4DCA" w:rsidP="00BF4DCA">
      <w:pPr>
        <w:spacing w:after="0"/>
        <w:rPr>
          <w:rFonts w:cs="v5.0.0"/>
          <w:lang w:val="en-US"/>
        </w:rPr>
      </w:pPr>
    </w:p>
    <w:p w14:paraId="1EF86C59" w14:textId="17E4C035" w:rsidR="00F93672" w:rsidRPr="00FD11FE" w:rsidRDefault="00F93672" w:rsidP="00BF4DCA">
      <w:pPr>
        <w:spacing w:after="0"/>
        <w:rPr>
          <w:rFonts w:cs="v5.0.0"/>
          <w:color w:val="FF0000"/>
          <w:lang w:val="en-US"/>
        </w:rPr>
      </w:pPr>
    </w:p>
    <w:p w14:paraId="3B616607" w14:textId="77777777" w:rsidR="00CD4C7B" w:rsidRPr="006E13D1" w:rsidRDefault="00CD4C7B" w:rsidP="00CD4C7B">
      <w:pPr>
        <w:pStyle w:val="Heading1"/>
      </w:pPr>
      <w:r w:rsidRPr="006E13D1">
        <w:t>References</w:t>
      </w:r>
    </w:p>
    <w:p w14:paraId="2293F043" w14:textId="77777777" w:rsidR="00BC41C7" w:rsidRPr="00504D76" w:rsidRDefault="00BC41C7" w:rsidP="00BC41C7">
      <w:pPr>
        <w:numPr>
          <w:ilvl w:val="0"/>
          <w:numId w:val="4"/>
        </w:numPr>
        <w:overflowPunct w:val="0"/>
        <w:autoSpaceDE w:val="0"/>
        <w:autoSpaceDN w:val="0"/>
        <w:adjustRightInd w:val="0"/>
        <w:textAlignment w:val="baseline"/>
        <w:rPr>
          <w:sz w:val="18"/>
          <w:lang w:val="en-US"/>
        </w:rPr>
      </w:pPr>
      <w:r w:rsidRPr="00600DC1">
        <w:rPr>
          <w:sz w:val="18"/>
          <w:lang w:eastAsia="zh-CN"/>
        </w:rPr>
        <w:t>RP-16</w:t>
      </w:r>
      <w:r>
        <w:rPr>
          <w:sz w:val="18"/>
          <w:lang w:eastAsia="zh-CN"/>
        </w:rPr>
        <w:t>2469</w:t>
      </w:r>
      <w:r w:rsidRPr="00600DC1">
        <w:rPr>
          <w:sz w:val="18"/>
          <w:lang w:eastAsia="zh-CN"/>
        </w:rPr>
        <w:t xml:space="preserve">, “Revision of SI: Study on New Radio Access </w:t>
      </w:r>
      <w:r w:rsidRPr="00504D76">
        <w:rPr>
          <w:sz w:val="18"/>
          <w:lang w:val="en-US"/>
        </w:rPr>
        <w:t>Technology”, NTT DOCOMO, INC.</w:t>
      </w:r>
    </w:p>
    <w:p w14:paraId="20750C63" w14:textId="77777777" w:rsidR="008C1254" w:rsidRPr="00FC3FB2" w:rsidRDefault="008C1254" w:rsidP="008C1254">
      <w:pPr>
        <w:numPr>
          <w:ilvl w:val="0"/>
          <w:numId w:val="4"/>
        </w:numPr>
        <w:overflowPunct w:val="0"/>
        <w:autoSpaceDE w:val="0"/>
        <w:autoSpaceDN w:val="0"/>
        <w:adjustRightInd w:val="0"/>
        <w:textAlignment w:val="baseline"/>
        <w:rPr>
          <w:sz w:val="18"/>
          <w:lang w:val="en-US"/>
        </w:rPr>
      </w:pPr>
      <w:r w:rsidRPr="008C1254">
        <w:rPr>
          <w:sz w:val="18"/>
          <w:lang w:val="en-US"/>
        </w:rPr>
        <w:t>R4-168775</w:t>
      </w:r>
      <w:r>
        <w:rPr>
          <w:sz w:val="18"/>
          <w:lang w:val="en-US"/>
        </w:rPr>
        <w:t>, “</w:t>
      </w:r>
      <w:r w:rsidRPr="008C1254">
        <w:rPr>
          <w:sz w:val="18"/>
          <w:lang w:val="en-US"/>
        </w:rPr>
        <w:t>WF on the in-band requirements for FDM of mixed numerologies</w:t>
      </w:r>
      <w:r>
        <w:rPr>
          <w:sz w:val="18"/>
          <w:lang w:val="en-US"/>
        </w:rPr>
        <w:t xml:space="preserve">”, </w:t>
      </w:r>
      <w:r w:rsidRPr="008C1254">
        <w:rPr>
          <w:sz w:val="18"/>
        </w:rPr>
        <w:t>Huawei, HiSilicon, Nokia</w:t>
      </w:r>
    </w:p>
    <w:p w14:paraId="456907D5" w14:textId="77777777" w:rsidR="00FC3FB2" w:rsidRDefault="00FC3FB2" w:rsidP="008C1254">
      <w:pPr>
        <w:numPr>
          <w:ilvl w:val="0"/>
          <w:numId w:val="4"/>
        </w:numPr>
        <w:overflowPunct w:val="0"/>
        <w:autoSpaceDE w:val="0"/>
        <w:autoSpaceDN w:val="0"/>
        <w:adjustRightInd w:val="0"/>
        <w:textAlignment w:val="baseline"/>
        <w:rPr>
          <w:sz w:val="18"/>
          <w:lang w:val="en-US"/>
        </w:rPr>
      </w:pPr>
      <w:r w:rsidRPr="00504D76">
        <w:rPr>
          <w:sz w:val="18"/>
          <w:lang w:val="en-US"/>
        </w:rPr>
        <w:t>R4-1610921, “Way forward on in-band requirement for NR”, Nokia, Alcatel-Lucent Shanghai Bell</w:t>
      </w:r>
    </w:p>
    <w:p w14:paraId="695E565C" w14:textId="77777777" w:rsidR="00F66F1E" w:rsidRDefault="00F66F1E" w:rsidP="000E7D28">
      <w:pPr>
        <w:numPr>
          <w:ilvl w:val="0"/>
          <w:numId w:val="4"/>
        </w:numPr>
        <w:overflowPunct w:val="0"/>
        <w:autoSpaceDE w:val="0"/>
        <w:autoSpaceDN w:val="0"/>
        <w:adjustRightInd w:val="0"/>
        <w:textAlignment w:val="baseline"/>
        <w:rPr>
          <w:sz w:val="18"/>
          <w:lang w:val="en-US"/>
        </w:rPr>
      </w:pPr>
      <w:r w:rsidRPr="00F66F1E">
        <w:rPr>
          <w:sz w:val="18"/>
          <w:lang w:val="en-US"/>
        </w:rPr>
        <w:t>R4-1609221, “NR UL in-band emissions and EVM requirements at UE TX”, Nokia, Alcatel-Lucent Shanghai Bell</w:t>
      </w:r>
    </w:p>
    <w:p w14:paraId="6323FB69" w14:textId="7E9B20DB" w:rsidR="00BE20DF" w:rsidRPr="00F66F1E" w:rsidRDefault="00BE20DF" w:rsidP="000E7D28">
      <w:pPr>
        <w:numPr>
          <w:ilvl w:val="0"/>
          <w:numId w:val="4"/>
        </w:numPr>
        <w:overflowPunct w:val="0"/>
        <w:autoSpaceDE w:val="0"/>
        <w:autoSpaceDN w:val="0"/>
        <w:adjustRightInd w:val="0"/>
        <w:textAlignment w:val="baseline"/>
        <w:rPr>
          <w:sz w:val="18"/>
          <w:lang w:val="en-US"/>
        </w:rPr>
      </w:pPr>
      <w:r w:rsidRPr="00BE20DF">
        <w:rPr>
          <w:sz w:val="18"/>
          <w:lang w:val="en-US"/>
        </w:rPr>
        <w:t>R4-1700053, “NR UL in-band emissions</w:t>
      </w:r>
      <w:r w:rsidR="009D52C1">
        <w:rPr>
          <w:sz w:val="18"/>
          <w:lang w:val="en-US"/>
        </w:rPr>
        <w:t xml:space="preserve"> and EVM requirements at UE Tx”</w:t>
      </w:r>
      <w:bookmarkStart w:id="1" w:name="_GoBack"/>
      <w:bookmarkEnd w:id="1"/>
      <w:r w:rsidRPr="00F66F1E">
        <w:rPr>
          <w:sz w:val="18"/>
          <w:lang w:val="en-US"/>
        </w:rPr>
        <w:t>, Nokia, Alcatel-Lucent Shanghai Bell</w:t>
      </w:r>
    </w:p>
    <w:p w14:paraId="7670CBE0" w14:textId="77777777" w:rsidR="0027345D" w:rsidRPr="0027345D" w:rsidRDefault="0027345D" w:rsidP="003F00EF">
      <w:pPr>
        <w:overflowPunct w:val="0"/>
        <w:autoSpaceDE w:val="0"/>
        <w:autoSpaceDN w:val="0"/>
        <w:adjustRightInd w:val="0"/>
        <w:ind w:left="357"/>
        <w:textAlignment w:val="baseline"/>
        <w:rPr>
          <w:sz w:val="18"/>
          <w:lang w:eastAsia="zh-CN"/>
        </w:rPr>
      </w:pPr>
    </w:p>
    <w:p w14:paraId="604A3D52" w14:textId="77777777"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07F93" w14:textId="77777777" w:rsidR="007E2049" w:rsidRDefault="007E2049">
      <w:r>
        <w:separator/>
      </w:r>
    </w:p>
  </w:endnote>
  <w:endnote w:type="continuationSeparator" w:id="0">
    <w:p w14:paraId="1676A907" w14:textId="77777777" w:rsidR="007E2049" w:rsidRDefault="007E2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7ABF2" w14:textId="77777777" w:rsidR="007E2049" w:rsidRDefault="007E2049">
      <w:r>
        <w:separator/>
      </w:r>
    </w:p>
  </w:footnote>
  <w:footnote w:type="continuationSeparator" w:id="0">
    <w:p w14:paraId="2AD62D98" w14:textId="77777777" w:rsidR="007E2049" w:rsidRDefault="007E20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75243"/>
    <w:multiLevelType w:val="hybridMultilevel"/>
    <w:tmpl w:val="563ED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54F14"/>
    <w:multiLevelType w:val="hybridMultilevel"/>
    <w:tmpl w:val="7B76FBCE"/>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B4EE9"/>
    <w:multiLevelType w:val="hybridMultilevel"/>
    <w:tmpl w:val="F9C6EC14"/>
    <w:lvl w:ilvl="0" w:tplc="62BA07DE">
      <w:start w:val="1"/>
      <w:numFmt w:val="bullet"/>
      <w:lvlText w:val="–"/>
      <w:lvlJc w:val="left"/>
      <w:pPr>
        <w:tabs>
          <w:tab w:val="num" w:pos="720"/>
        </w:tabs>
        <w:ind w:left="720" w:hanging="360"/>
      </w:pPr>
      <w:rPr>
        <w:rFonts w:ascii="Arial" w:hAnsi="Arial" w:hint="default"/>
      </w:rPr>
    </w:lvl>
    <w:lvl w:ilvl="1" w:tplc="4DA2D4AA" w:tentative="1">
      <w:start w:val="1"/>
      <w:numFmt w:val="bullet"/>
      <w:lvlText w:val="–"/>
      <w:lvlJc w:val="left"/>
      <w:pPr>
        <w:tabs>
          <w:tab w:val="num" w:pos="1440"/>
        </w:tabs>
        <w:ind w:left="1440" w:hanging="360"/>
      </w:pPr>
      <w:rPr>
        <w:rFonts w:ascii="Arial" w:hAnsi="Arial" w:hint="default"/>
      </w:rPr>
    </w:lvl>
    <w:lvl w:ilvl="2" w:tplc="11C8A924" w:tentative="1">
      <w:start w:val="1"/>
      <w:numFmt w:val="bullet"/>
      <w:lvlText w:val="–"/>
      <w:lvlJc w:val="left"/>
      <w:pPr>
        <w:tabs>
          <w:tab w:val="num" w:pos="2160"/>
        </w:tabs>
        <w:ind w:left="2160" w:hanging="360"/>
      </w:pPr>
      <w:rPr>
        <w:rFonts w:ascii="Arial" w:hAnsi="Arial" w:hint="default"/>
      </w:rPr>
    </w:lvl>
    <w:lvl w:ilvl="3" w:tplc="665080F6">
      <w:start w:val="1"/>
      <w:numFmt w:val="bullet"/>
      <w:lvlText w:val="–"/>
      <w:lvlJc w:val="left"/>
      <w:pPr>
        <w:tabs>
          <w:tab w:val="num" w:pos="2880"/>
        </w:tabs>
        <w:ind w:left="2880" w:hanging="360"/>
      </w:pPr>
      <w:rPr>
        <w:rFonts w:ascii="Arial" w:hAnsi="Arial" w:hint="default"/>
      </w:rPr>
    </w:lvl>
    <w:lvl w:ilvl="4" w:tplc="FC40A836" w:tentative="1">
      <w:start w:val="1"/>
      <w:numFmt w:val="bullet"/>
      <w:lvlText w:val="–"/>
      <w:lvlJc w:val="left"/>
      <w:pPr>
        <w:tabs>
          <w:tab w:val="num" w:pos="3600"/>
        </w:tabs>
        <w:ind w:left="3600" w:hanging="360"/>
      </w:pPr>
      <w:rPr>
        <w:rFonts w:ascii="Arial" w:hAnsi="Arial" w:hint="default"/>
      </w:rPr>
    </w:lvl>
    <w:lvl w:ilvl="5" w:tplc="88B4F8E0" w:tentative="1">
      <w:start w:val="1"/>
      <w:numFmt w:val="bullet"/>
      <w:lvlText w:val="–"/>
      <w:lvlJc w:val="left"/>
      <w:pPr>
        <w:tabs>
          <w:tab w:val="num" w:pos="4320"/>
        </w:tabs>
        <w:ind w:left="4320" w:hanging="360"/>
      </w:pPr>
      <w:rPr>
        <w:rFonts w:ascii="Arial" w:hAnsi="Arial" w:hint="default"/>
      </w:rPr>
    </w:lvl>
    <w:lvl w:ilvl="6" w:tplc="32147A10" w:tentative="1">
      <w:start w:val="1"/>
      <w:numFmt w:val="bullet"/>
      <w:lvlText w:val="–"/>
      <w:lvlJc w:val="left"/>
      <w:pPr>
        <w:tabs>
          <w:tab w:val="num" w:pos="5040"/>
        </w:tabs>
        <w:ind w:left="5040" w:hanging="360"/>
      </w:pPr>
      <w:rPr>
        <w:rFonts w:ascii="Arial" w:hAnsi="Arial" w:hint="default"/>
      </w:rPr>
    </w:lvl>
    <w:lvl w:ilvl="7" w:tplc="52BAFBFA" w:tentative="1">
      <w:start w:val="1"/>
      <w:numFmt w:val="bullet"/>
      <w:lvlText w:val="–"/>
      <w:lvlJc w:val="left"/>
      <w:pPr>
        <w:tabs>
          <w:tab w:val="num" w:pos="5760"/>
        </w:tabs>
        <w:ind w:left="5760" w:hanging="360"/>
      </w:pPr>
      <w:rPr>
        <w:rFonts w:ascii="Arial" w:hAnsi="Arial" w:hint="default"/>
      </w:rPr>
    </w:lvl>
    <w:lvl w:ilvl="8" w:tplc="30E2CA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0310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D11BC"/>
    <w:multiLevelType w:val="hybridMultilevel"/>
    <w:tmpl w:val="24CE62CA"/>
    <w:lvl w:ilvl="0" w:tplc="75EEB36C">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9"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C338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2A0E06EC"/>
    <w:multiLevelType w:val="hybridMultilevel"/>
    <w:tmpl w:val="7B76FBCE"/>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2C52D1"/>
    <w:multiLevelType w:val="hybridMultilevel"/>
    <w:tmpl w:val="AB24122E"/>
    <w:lvl w:ilvl="0" w:tplc="C290C762">
      <w:start w:val="1"/>
      <w:numFmt w:val="bullet"/>
      <w:lvlText w:val="•"/>
      <w:lvlJc w:val="left"/>
      <w:pPr>
        <w:tabs>
          <w:tab w:val="num" w:pos="720"/>
        </w:tabs>
        <w:ind w:left="720" w:hanging="360"/>
      </w:pPr>
      <w:rPr>
        <w:rFonts w:ascii="Arial" w:hAnsi="Arial" w:hint="default"/>
      </w:rPr>
    </w:lvl>
    <w:lvl w:ilvl="1" w:tplc="A9A24FCE">
      <w:start w:val="19"/>
      <w:numFmt w:val="bullet"/>
      <w:lvlText w:val="–"/>
      <w:lvlJc w:val="left"/>
      <w:pPr>
        <w:tabs>
          <w:tab w:val="num" w:pos="1440"/>
        </w:tabs>
        <w:ind w:left="1440" w:hanging="360"/>
      </w:pPr>
      <w:rPr>
        <w:rFonts w:ascii="Arial" w:hAnsi="Arial" w:hint="default"/>
      </w:rPr>
    </w:lvl>
    <w:lvl w:ilvl="2" w:tplc="FE6AAE8E" w:tentative="1">
      <w:start w:val="1"/>
      <w:numFmt w:val="bullet"/>
      <w:lvlText w:val="•"/>
      <w:lvlJc w:val="left"/>
      <w:pPr>
        <w:tabs>
          <w:tab w:val="num" w:pos="2160"/>
        </w:tabs>
        <w:ind w:left="2160" w:hanging="360"/>
      </w:pPr>
      <w:rPr>
        <w:rFonts w:ascii="Arial" w:hAnsi="Arial" w:hint="default"/>
      </w:rPr>
    </w:lvl>
    <w:lvl w:ilvl="3" w:tplc="22DA6B72" w:tentative="1">
      <w:start w:val="1"/>
      <w:numFmt w:val="bullet"/>
      <w:lvlText w:val="•"/>
      <w:lvlJc w:val="left"/>
      <w:pPr>
        <w:tabs>
          <w:tab w:val="num" w:pos="2880"/>
        </w:tabs>
        <w:ind w:left="2880" w:hanging="360"/>
      </w:pPr>
      <w:rPr>
        <w:rFonts w:ascii="Arial" w:hAnsi="Arial" w:hint="default"/>
      </w:rPr>
    </w:lvl>
    <w:lvl w:ilvl="4" w:tplc="6B227842" w:tentative="1">
      <w:start w:val="1"/>
      <w:numFmt w:val="bullet"/>
      <w:lvlText w:val="•"/>
      <w:lvlJc w:val="left"/>
      <w:pPr>
        <w:tabs>
          <w:tab w:val="num" w:pos="3600"/>
        </w:tabs>
        <w:ind w:left="3600" w:hanging="360"/>
      </w:pPr>
      <w:rPr>
        <w:rFonts w:ascii="Arial" w:hAnsi="Arial" w:hint="default"/>
      </w:rPr>
    </w:lvl>
    <w:lvl w:ilvl="5" w:tplc="D6588540" w:tentative="1">
      <w:start w:val="1"/>
      <w:numFmt w:val="bullet"/>
      <w:lvlText w:val="•"/>
      <w:lvlJc w:val="left"/>
      <w:pPr>
        <w:tabs>
          <w:tab w:val="num" w:pos="4320"/>
        </w:tabs>
        <w:ind w:left="4320" w:hanging="360"/>
      </w:pPr>
      <w:rPr>
        <w:rFonts w:ascii="Arial" w:hAnsi="Arial" w:hint="default"/>
      </w:rPr>
    </w:lvl>
    <w:lvl w:ilvl="6" w:tplc="8668D926" w:tentative="1">
      <w:start w:val="1"/>
      <w:numFmt w:val="bullet"/>
      <w:lvlText w:val="•"/>
      <w:lvlJc w:val="left"/>
      <w:pPr>
        <w:tabs>
          <w:tab w:val="num" w:pos="5040"/>
        </w:tabs>
        <w:ind w:left="5040" w:hanging="360"/>
      </w:pPr>
      <w:rPr>
        <w:rFonts w:ascii="Arial" w:hAnsi="Arial" w:hint="default"/>
      </w:rPr>
    </w:lvl>
    <w:lvl w:ilvl="7" w:tplc="2B3CF6E0" w:tentative="1">
      <w:start w:val="1"/>
      <w:numFmt w:val="bullet"/>
      <w:lvlText w:val="•"/>
      <w:lvlJc w:val="left"/>
      <w:pPr>
        <w:tabs>
          <w:tab w:val="num" w:pos="5760"/>
        </w:tabs>
        <w:ind w:left="5760" w:hanging="360"/>
      </w:pPr>
      <w:rPr>
        <w:rFonts w:ascii="Arial" w:hAnsi="Arial" w:hint="default"/>
      </w:rPr>
    </w:lvl>
    <w:lvl w:ilvl="8" w:tplc="9C38B8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D92E76"/>
    <w:multiLevelType w:val="hybridMultilevel"/>
    <w:tmpl w:val="25546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2"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B65A1E"/>
    <w:multiLevelType w:val="hybridMultilevel"/>
    <w:tmpl w:val="984C09DE"/>
    <w:lvl w:ilvl="0" w:tplc="DB06F1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7B6389"/>
    <w:multiLevelType w:val="hybridMultilevel"/>
    <w:tmpl w:val="7B76FBCE"/>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BB1049"/>
    <w:multiLevelType w:val="hybridMultilevel"/>
    <w:tmpl w:val="E8B88102"/>
    <w:lvl w:ilvl="0" w:tplc="75EEB36C">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3"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7B7FCB"/>
    <w:multiLevelType w:val="hybridMultilevel"/>
    <w:tmpl w:val="A2E83DE6"/>
    <w:lvl w:ilvl="0" w:tplc="2800E3B4">
      <w:start w:val="1"/>
      <w:numFmt w:val="bullet"/>
      <w:lvlText w:val="•"/>
      <w:lvlJc w:val="left"/>
      <w:pPr>
        <w:tabs>
          <w:tab w:val="num" w:pos="720"/>
        </w:tabs>
        <w:ind w:left="720" w:hanging="360"/>
      </w:pPr>
      <w:rPr>
        <w:rFonts w:ascii="Arial" w:hAnsi="Arial" w:hint="default"/>
      </w:rPr>
    </w:lvl>
    <w:lvl w:ilvl="1" w:tplc="0C6C02E2">
      <w:start w:val="57"/>
      <w:numFmt w:val="bullet"/>
      <w:lvlText w:val="–"/>
      <w:lvlJc w:val="left"/>
      <w:pPr>
        <w:tabs>
          <w:tab w:val="num" w:pos="1440"/>
        </w:tabs>
        <w:ind w:left="1440" w:hanging="360"/>
      </w:pPr>
      <w:rPr>
        <w:rFonts w:ascii="Arial" w:hAnsi="Arial" w:hint="default"/>
      </w:rPr>
    </w:lvl>
    <w:lvl w:ilvl="2" w:tplc="F0E888DA">
      <w:start w:val="57"/>
      <w:numFmt w:val="bullet"/>
      <w:lvlText w:val="•"/>
      <w:lvlJc w:val="left"/>
      <w:pPr>
        <w:tabs>
          <w:tab w:val="num" w:pos="2160"/>
        </w:tabs>
        <w:ind w:left="2160" w:hanging="360"/>
      </w:pPr>
      <w:rPr>
        <w:rFonts w:ascii="Arial" w:hAnsi="Arial" w:hint="default"/>
      </w:rPr>
    </w:lvl>
    <w:lvl w:ilvl="3" w:tplc="822E9956">
      <w:start w:val="57"/>
      <w:numFmt w:val="bullet"/>
      <w:lvlText w:val="–"/>
      <w:lvlJc w:val="left"/>
      <w:pPr>
        <w:tabs>
          <w:tab w:val="num" w:pos="2880"/>
        </w:tabs>
        <w:ind w:left="2880" w:hanging="360"/>
      </w:pPr>
      <w:rPr>
        <w:rFonts w:ascii="Arial" w:hAnsi="Arial" w:hint="default"/>
      </w:rPr>
    </w:lvl>
    <w:lvl w:ilvl="4" w:tplc="DC540536">
      <w:start w:val="57"/>
      <w:numFmt w:val="bullet"/>
      <w:lvlText w:val="»"/>
      <w:lvlJc w:val="left"/>
      <w:pPr>
        <w:tabs>
          <w:tab w:val="num" w:pos="3600"/>
        </w:tabs>
        <w:ind w:left="3600" w:hanging="360"/>
      </w:pPr>
      <w:rPr>
        <w:rFonts w:ascii="Arial" w:hAnsi="Arial" w:hint="default"/>
      </w:rPr>
    </w:lvl>
    <w:lvl w:ilvl="5" w:tplc="662AED24" w:tentative="1">
      <w:start w:val="1"/>
      <w:numFmt w:val="bullet"/>
      <w:lvlText w:val="•"/>
      <w:lvlJc w:val="left"/>
      <w:pPr>
        <w:tabs>
          <w:tab w:val="num" w:pos="4320"/>
        </w:tabs>
        <w:ind w:left="4320" w:hanging="360"/>
      </w:pPr>
      <w:rPr>
        <w:rFonts w:ascii="Arial" w:hAnsi="Arial" w:hint="default"/>
      </w:rPr>
    </w:lvl>
    <w:lvl w:ilvl="6" w:tplc="1612FBF2" w:tentative="1">
      <w:start w:val="1"/>
      <w:numFmt w:val="bullet"/>
      <w:lvlText w:val="•"/>
      <w:lvlJc w:val="left"/>
      <w:pPr>
        <w:tabs>
          <w:tab w:val="num" w:pos="5040"/>
        </w:tabs>
        <w:ind w:left="5040" w:hanging="360"/>
      </w:pPr>
      <w:rPr>
        <w:rFonts w:ascii="Arial" w:hAnsi="Arial" w:hint="default"/>
      </w:rPr>
    </w:lvl>
    <w:lvl w:ilvl="7" w:tplc="32203E14" w:tentative="1">
      <w:start w:val="1"/>
      <w:numFmt w:val="bullet"/>
      <w:lvlText w:val="•"/>
      <w:lvlJc w:val="left"/>
      <w:pPr>
        <w:tabs>
          <w:tab w:val="num" w:pos="5760"/>
        </w:tabs>
        <w:ind w:left="5760" w:hanging="360"/>
      </w:pPr>
      <w:rPr>
        <w:rFonts w:ascii="Arial" w:hAnsi="Arial" w:hint="default"/>
      </w:rPr>
    </w:lvl>
    <w:lvl w:ilvl="8" w:tplc="105A9CB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24"/>
    <w:lvlOverride w:ilvl="0">
      <w:startOverride w:val="1"/>
    </w:lvlOverride>
    <w:lvlOverride w:ilvl="1"/>
    <w:lvlOverride w:ilvl="2"/>
    <w:lvlOverride w:ilvl="3"/>
    <w:lvlOverride w:ilvl="4"/>
    <w:lvlOverride w:ilvl="5"/>
    <w:lvlOverride w:ilvl="6"/>
    <w:lvlOverride w:ilvl="7"/>
    <w:lvlOverride w:ilvl="8"/>
  </w:num>
  <w:num w:numId="6">
    <w:abstractNumId w:val="12"/>
  </w:num>
  <w:num w:numId="7">
    <w:abstractNumId w:val="8"/>
  </w:num>
  <w:num w:numId="8">
    <w:abstractNumId w:val="30"/>
  </w:num>
  <w:num w:numId="9">
    <w:abstractNumId w:val="10"/>
  </w:num>
  <w:num w:numId="10">
    <w:abstractNumId w:val="22"/>
  </w:num>
  <w:num w:numId="11">
    <w:abstractNumId w:val="9"/>
  </w:num>
  <w:num w:numId="12">
    <w:abstractNumId w:val="37"/>
  </w:num>
  <w:num w:numId="13">
    <w:abstractNumId w:val="30"/>
  </w:num>
  <w:num w:numId="14">
    <w:abstractNumId w:val="38"/>
  </w:num>
  <w:num w:numId="15">
    <w:abstractNumId w:val="25"/>
  </w:num>
  <w:num w:numId="16">
    <w:abstractNumId w:val="27"/>
  </w:num>
  <w:num w:numId="17">
    <w:abstractNumId w:val="26"/>
  </w:num>
  <w:num w:numId="18">
    <w:abstractNumId w:val="11"/>
  </w:num>
  <w:num w:numId="19">
    <w:abstractNumId w:val="21"/>
  </w:num>
  <w:num w:numId="20">
    <w:abstractNumId w:val="32"/>
  </w:num>
  <w:num w:numId="21">
    <w:abstractNumId w:val="16"/>
  </w:num>
  <w:num w:numId="22">
    <w:abstractNumId w:val="14"/>
  </w:num>
  <w:num w:numId="23">
    <w:abstractNumId w:val="35"/>
  </w:num>
  <w:num w:numId="24">
    <w:abstractNumId w:val="33"/>
  </w:num>
  <w:num w:numId="25">
    <w:abstractNumId w:val="19"/>
  </w:num>
  <w:num w:numId="26">
    <w:abstractNumId w:val="28"/>
  </w:num>
  <w:num w:numId="27">
    <w:abstractNumId w:val="36"/>
  </w:num>
  <w:num w:numId="28">
    <w:abstractNumId w:val="34"/>
  </w:num>
  <w:num w:numId="29">
    <w:abstractNumId w:val="4"/>
  </w:num>
  <w:num w:numId="30">
    <w:abstractNumId w:val="1"/>
  </w:num>
  <w:num w:numId="31">
    <w:abstractNumId w:val="20"/>
  </w:num>
  <w:num w:numId="32">
    <w:abstractNumId w:val="13"/>
  </w:num>
  <w:num w:numId="33">
    <w:abstractNumId w:val="6"/>
  </w:num>
  <w:num w:numId="34">
    <w:abstractNumId w:val="5"/>
  </w:num>
  <w:num w:numId="35">
    <w:abstractNumId w:val="23"/>
  </w:num>
  <w:num w:numId="36">
    <w:abstractNumId w:val="17"/>
  </w:num>
  <w:num w:numId="37">
    <w:abstractNumId w:val="31"/>
  </w:num>
  <w:num w:numId="38">
    <w:abstractNumId w:val="7"/>
  </w:num>
  <w:num w:numId="39">
    <w:abstractNumId w:val="15"/>
  </w:num>
  <w:num w:numId="40">
    <w:abstractNumId w:val="29"/>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938"/>
    <w:rsid w:val="0001145D"/>
    <w:rsid w:val="00014239"/>
    <w:rsid w:val="00017313"/>
    <w:rsid w:val="00024F46"/>
    <w:rsid w:val="000300D0"/>
    <w:rsid w:val="000305C8"/>
    <w:rsid w:val="00030689"/>
    <w:rsid w:val="00031B91"/>
    <w:rsid w:val="00033397"/>
    <w:rsid w:val="000365B5"/>
    <w:rsid w:val="00040095"/>
    <w:rsid w:val="00040D27"/>
    <w:rsid w:val="00053614"/>
    <w:rsid w:val="000642AF"/>
    <w:rsid w:val="000667FA"/>
    <w:rsid w:val="00071628"/>
    <w:rsid w:val="00071FFA"/>
    <w:rsid w:val="000721A4"/>
    <w:rsid w:val="00073190"/>
    <w:rsid w:val="000733AA"/>
    <w:rsid w:val="0007527A"/>
    <w:rsid w:val="00080512"/>
    <w:rsid w:val="00081167"/>
    <w:rsid w:val="000830B8"/>
    <w:rsid w:val="00085902"/>
    <w:rsid w:val="00090468"/>
    <w:rsid w:val="00091B51"/>
    <w:rsid w:val="00092463"/>
    <w:rsid w:val="0009276D"/>
    <w:rsid w:val="00097704"/>
    <w:rsid w:val="000A1A7C"/>
    <w:rsid w:val="000A4929"/>
    <w:rsid w:val="000B120E"/>
    <w:rsid w:val="000B2938"/>
    <w:rsid w:val="000B6232"/>
    <w:rsid w:val="000B6309"/>
    <w:rsid w:val="000B7BCF"/>
    <w:rsid w:val="000C02E7"/>
    <w:rsid w:val="000C250C"/>
    <w:rsid w:val="000C27B8"/>
    <w:rsid w:val="000C3813"/>
    <w:rsid w:val="000C522B"/>
    <w:rsid w:val="000C5373"/>
    <w:rsid w:val="000D1D5E"/>
    <w:rsid w:val="000D4E52"/>
    <w:rsid w:val="000D58AB"/>
    <w:rsid w:val="000D64D4"/>
    <w:rsid w:val="000D771B"/>
    <w:rsid w:val="000E07E9"/>
    <w:rsid w:val="000E0BB9"/>
    <w:rsid w:val="000F01EC"/>
    <w:rsid w:val="000F583D"/>
    <w:rsid w:val="000F6330"/>
    <w:rsid w:val="000F6BF1"/>
    <w:rsid w:val="000F7070"/>
    <w:rsid w:val="00103E62"/>
    <w:rsid w:val="00105C1B"/>
    <w:rsid w:val="00107EAD"/>
    <w:rsid w:val="00112095"/>
    <w:rsid w:val="00114C32"/>
    <w:rsid w:val="00135404"/>
    <w:rsid w:val="00137E68"/>
    <w:rsid w:val="00147B64"/>
    <w:rsid w:val="001509A1"/>
    <w:rsid w:val="00154A6B"/>
    <w:rsid w:val="00156982"/>
    <w:rsid w:val="001601D4"/>
    <w:rsid w:val="00171463"/>
    <w:rsid w:val="00172D1A"/>
    <w:rsid w:val="001741A0"/>
    <w:rsid w:val="00174BE8"/>
    <w:rsid w:val="00176E94"/>
    <w:rsid w:val="001808F1"/>
    <w:rsid w:val="0018168F"/>
    <w:rsid w:val="00181DAA"/>
    <w:rsid w:val="00183421"/>
    <w:rsid w:val="001842C2"/>
    <w:rsid w:val="00184951"/>
    <w:rsid w:val="0018583D"/>
    <w:rsid w:val="001863F5"/>
    <w:rsid w:val="00194CD0"/>
    <w:rsid w:val="00194E93"/>
    <w:rsid w:val="001A2659"/>
    <w:rsid w:val="001A2A06"/>
    <w:rsid w:val="001B05B8"/>
    <w:rsid w:val="001B414D"/>
    <w:rsid w:val="001B49C9"/>
    <w:rsid w:val="001B7DA9"/>
    <w:rsid w:val="001C5CCF"/>
    <w:rsid w:val="001C75B0"/>
    <w:rsid w:val="001D2D88"/>
    <w:rsid w:val="001D3BFF"/>
    <w:rsid w:val="001D662B"/>
    <w:rsid w:val="001D68E2"/>
    <w:rsid w:val="001D7495"/>
    <w:rsid w:val="001E5E16"/>
    <w:rsid w:val="001E7664"/>
    <w:rsid w:val="001F168B"/>
    <w:rsid w:val="001F36CE"/>
    <w:rsid w:val="001F7831"/>
    <w:rsid w:val="0020128A"/>
    <w:rsid w:val="00201C2F"/>
    <w:rsid w:val="00204045"/>
    <w:rsid w:val="00211D93"/>
    <w:rsid w:val="00217539"/>
    <w:rsid w:val="002220DD"/>
    <w:rsid w:val="0022454B"/>
    <w:rsid w:val="0022606D"/>
    <w:rsid w:val="00231A80"/>
    <w:rsid w:val="00234E78"/>
    <w:rsid w:val="002362AF"/>
    <w:rsid w:val="00241B8E"/>
    <w:rsid w:val="00243398"/>
    <w:rsid w:val="00245034"/>
    <w:rsid w:val="002500C4"/>
    <w:rsid w:val="002519DA"/>
    <w:rsid w:val="0025374C"/>
    <w:rsid w:val="00256F2C"/>
    <w:rsid w:val="00257ABE"/>
    <w:rsid w:val="002710CA"/>
    <w:rsid w:val="0027345D"/>
    <w:rsid w:val="002747EC"/>
    <w:rsid w:val="00283F97"/>
    <w:rsid w:val="00284494"/>
    <w:rsid w:val="002845F1"/>
    <w:rsid w:val="002855BF"/>
    <w:rsid w:val="0028563D"/>
    <w:rsid w:val="00290BB8"/>
    <w:rsid w:val="002949B1"/>
    <w:rsid w:val="002A24AA"/>
    <w:rsid w:val="002B62C9"/>
    <w:rsid w:val="002B763A"/>
    <w:rsid w:val="002C4BDF"/>
    <w:rsid w:val="002C52AF"/>
    <w:rsid w:val="002C7FDB"/>
    <w:rsid w:val="002D3588"/>
    <w:rsid w:val="002D56E0"/>
    <w:rsid w:val="002D6BC2"/>
    <w:rsid w:val="002F0101"/>
    <w:rsid w:val="002F0779"/>
    <w:rsid w:val="002F0D22"/>
    <w:rsid w:val="0030003D"/>
    <w:rsid w:val="00300E81"/>
    <w:rsid w:val="00304A8D"/>
    <w:rsid w:val="00316195"/>
    <w:rsid w:val="003161B4"/>
    <w:rsid w:val="003172DC"/>
    <w:rsid w:val="003226A8"/>
    <w:rsid w:val="00322FA8"/>
    <w:rsid w:val="00325B90"/>
    <w:rsid w:val="00326069"/>
    <w:rsid w:val="00352D97"/>
    <w:rsid w:val="0035462D"/>
    <w:rsid w:val="0035791B"/>
    <w:rsid w:val="00357FD7"/>
    <w:rsid w:val="00365555"/>
    <w:rsid w:val="00367759"/>
    <w:rsid w:val="00370277"/>
    <w:rsid w:val="00376ABD"/>
    <w:rsid w:val="00384421"/>
    <w:rsid w:val="00386EFA"/>
    <w:rsid w:val="003872AD"/>
    <w:rsid w:val="00394576"/>
    <w:rsid w:val="003A4E98"/>
    <w:rsid w:val="003A5A3E"/>
    <w:rsid w:val="003B0D89"/>
    <w:rsid w:val="003C0494"/>
    <w:rsid w:val="003C21BD"/>
    <w:rsid w:val="003C4E37"/>
    <w:rsid w:val="003D23DB"/>
    <w:rsid w:val="003D403D"/>
    <w:rsid w:val="003D6E96"/>
    <w:rsid w:val="003E0ED9"/>
    <w:rsid w:val="003E16BE"/>
    <w:rsid w:val="003E648B"/>
    <w:rsid w:val="003E6A5A"/>
    <w:rsid w:val="003E70FA"/>
    <w:rsid w:val="003F00EF"/>
    <w:rsid w:val="003F1F9F"/>
    <w:rsid w:val="00401855"/>
    <w:rsid w:val="004066C0"/>
    <w:rsid w:val="00414171"/>
    <w:rsid w:val="00414F32"/>
    <w:rsid w:val="004255D7"/>
    <w:rsid w:val="00425E15"/>
    <w:rsid w:val="004267DD"/>
    <w:rsid w:val="0042761B"/>
    <w:rsid w:val="0043021C"/>
    <w:rsid w:val="00432EA4"/>
    <w:rsid w:val="004337BD"/>
    <w:rsid w:val="00433F7F"/>
    <w:rsid w:val="00442797"/>
    <w:rsid w:val="00445AB5"/>
    <w:rsid w:val="00450974"/>
    <w:rsid w:val="0045347A"/>
    <w:rsid w:val="004551C1"/>
    <w:rsid w:val="004555F9"/>
    <w:rsid w:val="00466118"/>
    <w:rsid w:val="00467B4F"/>
    <w:rsid w:val="00467F50"/>
    <w:rsid w:val="00473EC1"/>
    <w:rsid w:val="00476542"/>
    <w:rsid w:val="00477455"/>
    <w:rsid w:val="00481014"/>
    <w:rsid w:val="004813D0"/>
    <w:rsid w:val="004819E2"/>
    <w:rsid w:val="00482066"/>
    <w:rsid w:val="0048229C"/>
    <w:rsid w:val="00491DA8"/>
    <w:rsid w:val="004A0324"/>
    <w:rsid w:val="004A20E8"/>
    <w:rsid w:val="004A26DA"/>
    <w:rsid w:val="004A4285"/>
    <w:rsid w:val="004A51E7"/>
    <w:rsid w:val="004B4FB4"/>
    <w:rsid w:val="004B6E66"/>
    <w:rsid w:val="004D2FAA"/>
    <w:rsid w:val="004D3578"/>
    <w:rsid w:val="004D380D"/>
    <w:rsid w:val="004D390A"/>
    <w:rsid w:val="004E194A"/>
    <w:rsid w:val="004E213A"/>
    <w:rsid w:val="004F3D24"/>
    <w:rsid w:val="00503171"/>
    <w:rsid w:val="00506060"/>
    <w:rsid w:val="00506E4A"/>
    <w:rsid w:val="00507AF5"/>
    <w:rsid w:val="0051369E"/>
    <w:rsid w:val="0051469E"/>
    <w:rsid w:val="005151D2"/>
    <w:rsid w:val="005252D5"/>
    <w:rsid w:val="005273F3"/>
    <w:rsid w:val="00534DA0"/>
    <w:rsid w:val="005375E6"/>
    <w:rsid w:val="005376E1"/>
    <w:rsid w:val="00540EF4"/>
    <w:rsid w:val="00543E6C"/>
    <w:rsid w:val="00545EAB"/>
    <w:rsid w:val="00546DC4"/>
    <w:rsid w:val="00546DCA"/>
    <w:rsid w:val="00547A4C"/>
    <w:rsid w:val="00557257"/>
    <w:rsid w:val="00565087"/>
    <w:rsid w:val="0056573F"/>
    <w:rsid w:val="005711AE"/>
    <w:rsid w:val="00581453"/>
    <w:rsid w:val="00582938"/>
    <w:rsid w:val="005850AD"/>
    <w:rsid w:val="0059000D"/>
    <w:rsid w:val="00592A31"/>
    <w:rsid w:val="005935C6"/>
    <w:rsid w:val="00595500"/>
    <w:rsid w:val="005A16DC"/>
    <w:rsid w:val="005A1848"/>
    <w:rsid w:val="005A36A5"/>
    <w:rsid w:val="005A3EF5"/>
    <w:rsid w:val="005A504B"/>
    <w:rsid w:val="005B0554"/>
    <w:rsid w:val="005B2EA4"/>
    <w:rsid w:val="005B3245"/>
    <w:rsid w:val="005B3DAC"/>
    <w:rsid w:val="005B4EBA"/>
    <w:rsid w:val="005C0FDB"/>
    <w:rsid w:val="005C1BF3"/>
    <w:rsid w:val="005C2293"/>
    <w:rsid w:val="005D343C"/>
    <w:rsid w:val="005D4960"/>
    <w:rsid w:val="005E36B0"/>
    <w:rsid w:val="005E5F83"/>
    <w:rsid w:val="005F5C79"/>
    <w:rsid w:val="00600984"/>
    <w:rsid w:val="006028B1"/>
    <w:rsid w:val="00602F04"/>
    <w:rsid w:val="00611566"/>
    <w:rsid w:val="00612397"/>
    <w:rsid w:val="00616F25"/>
    <w:rsid w:val="00625433"/>
    <w:rsid w:val="0062549D"/>
    <w:rsid w:val="00633780"/>
    <w:rsid w:val="00633831"/>
    <w:rsid w:val="00634D93"/>
    <w:rsid w:val="00637734"/>
    <w:rsid w:val="0064349F"/>
    <w:rsid w:val="00644812"/>
    <w:rsid w:val="00646D99"/>
    <w:rsid w:val="006475B9"/>
    <w:rsid w:val="00647DBD"/>
    <w:rsid w:val="006516F9"/>
    <w:rsid w:val="00654974"/>
    <w:rsid w:val="006550E8"/>
    <w:rsid w:val="00656910"/>
    <w:rsid w:val="0066204B"/>
    <w:rsid w:val="00662621"/>
    <w:rsid w:val="00664B16"/>
    <w:rsid w:val="00665F61"/>
    <w:rsid w:val="006776D1"/>
    <w:rsid w:val="006806B5"/>
    <w:rsid w:val="00681244"/>
    <w:rsid w:val="0068143A"/>
    <w:rsid w:val="00685F26"/>
    <w:rsid w:val="00690C58"/>
    <w:rsid w:val="00694446"/>
    <w:rsid w:val="006A0B35"/>
    <w:rsid w:val="006A28E7"/>
    <w:rsid w:val="006A3922"/>
    <w:rsid w:val="006B19D5"/>
    <w:rsid w:val="006B19D6"/>
    <w:rsid w:val="006B65DB"/>
    <w:rsid w:val="006B6C1A"/>
    <w:rsid w:val="006C060B"/>
    <w:rsid w:val="006C115F"/>
    <w:rsid w:val="006C2F98"/>
    <w:rsid w:val="006C48CB"/>
    <w:rsid w:val="006C66D8"/>
    <w:rsid w:val="006C7481"/>
    <w:rsid w:val="006D1E24"/>
    <w:rsid w:val="006D6055"/>
    <w:rsid w:val="006E4EB0"/>
    <w:rsid w:val="006F0A74"/>
    <w:rsid w:val="006F3924"/>
    <w:rsid w:val="006F6A2C"/>
    <w:rsid w:val="00702306"/>
    <w:rsid w:val="0070507A"/>
    <w:rsid w:val="007054E8"/>
    <w:rsid w:val="007064D2"/>
    <w:rsid w:val="007067FB"/>
    <w:rsid w:val="00710D95"/>
    <w:rsid w:val="007201A8"/>
    <w:rsid w:val="007202FD"/>
    <w:rsid w:val="00721E3C"/>
    <w:rsid w:val="00726ECF"/>
    <w:rsid w:val="00734A5B"/>
    <w:rsid w:val="00743256"/>
    <w:rsid w:val="00744E76"/>
    <w:rsid w:val="00745BD6"/>
    <w:rsid w:val="00745DF4"/>
    <w:rsid w:val="00751E84"/>
    <w:rsid w:val="007546F4"/>
    <w:rsid w:val="00754703"/>
    <w:rsid w:val="00755597"/>
    <w:rsid w:val="00755CCE"/>
    <w:rsid w:val="00757D40"/>
    <w:rsid w:val="00763A99"/>
    <w:rsid w:val="0076739A"/>
    <w:rsid w:val="00772D0D"/>
    <w:rsid w:val="00773A5C"/>
    <w:rsid w:val="00777734"/>
    <w:rsid w:val="00781F0F"/>
    <w:rsid w:val="00783CF8"/>
    <w:rsid w:val="00785A41"/>
    <w:rsid w:val="0078727C"/>
    <w:rsid w:val="00794703"/>
    <w:rsid w:val="007A0D95"/>
    <w:rsid w:val="007A2E8D"/>
    <w:rsid w:val="007A6DD5"/>
    <w:rsid w:val="007A7A31"/>
    <w:rsid w:val="007B0B9A"/>
    <w:rsid w:val="007B18D8"/>
    <w:rsid w:val="007B38DC"/>
    <w:rsid w:val="007B4529"/>
    <w:rsid w:val="007B5E5E"/>
    <w:rsid w:val="007C095F"/>
    <w:rsid w:val="007C20EA"/>
    <w:rsid w:val="007C367C"/>
    <w:rsid w:val="007C529D"/>
    <w:rsid w:val="007D39F4"/>
    <w:rsid w:val="007D4B8E"/>
    <w:rsid w:val="007D6728"/>
    <w:rsid w:val="007E0E7C"/>
    <w:rsid w:val="007E2049"/>
    <w:rsid w:val="007E2C59"/>
    <w:rsid w:val="007E3F64"/>
    <w:rsid w:val="007E5ACF"/>
    <w:rsid w:val="007F3BC4"/>
    <w:rsid w:val="007F6E98"/>
    <w:rsid w:val="00801BFD"/>
    <w:rsid w:val="008028A4"/>
    <w:rsid w:val="00803572"/>
    <w:rsid w:val="00804312"/>
    <w:rsid w:val="008050C7"/>
    <w:rsid w:val="0080571C"/>
    <w:rsid w:val="008068B6"/>
    <w:rsid w:val="00806CC4"/>
    <w:rsid w:val="00814B79"/>
    <w:rsid w:val="00816507"/>
    <w:rsid w:val="00816D4D"/>
    <w:rsid w:val="00823F2B"/>
    <w:rsid w:val="008246A0"/>
    <w:rsid w:val="008268CE"/>
    <w:rsid w:val="008314F0"/>
    <w:rsid w:val="00832A46"/>
    <w:rsid w:val="00833BD5"/>
    <w:rsid w:val="00834AD1"/>
    <w:rsid w:val="008353F8"/>
    <w:rsid w:val="00843BD9"/>
    <w:rsid w:val="00847C9D"/>
    <w:rsid w:val="008531D2"/>
    <w:rsid w:val="00855460"/>
    <w:rsid w:val="008610FC"/>
    <w:rsid w:val="0086539A"/>
    <w:rsid w:val="00865FF5"/>
    <w:rsid w:val="008660AD"/>
    <w:rsid w:val="008663F0"/>
    <w:rsid w:val="0086716D"/>
    <w:rsid w:val="008717A7"/>
    <w:rsid w:val="0087443D"/>
    <w:rsid w:val="008768CA"/>
    <w:rsid w:val="00877F26"/>
    <w:rsid w:val="00880559"/>
    <w:rsid w:val="00881B80"/>
    <w:rsid w:val="00883564"/>
    <w:rsid w:val="008840FF"/>
    <w:rsid w:val="00884944"/>
    <w:rsid w:val="00886976"/>
    <w:rsid w:val="00886E81"/>
    <w:rsid w:val="008930EB"/>
    <w:rsid w:val="008A1F7A"/>
    <w:rsid w:val="008A2986"/>
    <w:rsid w:val="008A7413"/>
    <w:rsid w:val="008B0648"/>
    <w:rsid w:val="008B2259"/>
    <w:rsid w:val="008B5129"/>
    <w:rsid w:val="008B7A6D"/>
    <w:rsid w:val="008C1254"/>
    <w:rsid w:val="008C3221"/>
    <w:rsid w:val="008C442A"/>
    <w:rsid w:val="008D7B95"/>
    <w:rsid w:val="008D7C2B"/>
    <w:rsid w:val="008D7DCF"/>
    <w:rsid w:val="008E2D1D"/>
    <w:rsid w:val="008E4342"/>
    <w:rsid w:val="008E49DB"/>
    <w:rsid w:val="008F2781"/>
    <w:rsid w:val="008F2843"/>
    <w:rsid w:val="008F32DB"/>
    <w:rsid w:val="0090235E"/>
    <w:rsid w:val="0090271F"/>
    <w:rsid w:val="0091687F"/>
    <w:rsid w:val="00916B4F"/>
    <w:rsid w:val="009175D3"/>
    <w:rsid w:val="009208AA"/>
    <w:rsid w:val="00921AE5"/>
    <w:rsid w:val="00930165"/>
    <w:rsid w:val="00930E84"/>
    <w:rsid w:val="00931061"/>
    <w:rsid w:val="00933DF8"/>
    <w:rsid w:val="00933E02"/>
    <w:rsid w:val="009368F7"/>
    <w:rsid w:val="00937E12"/>
    <w:rsid w:val="00937E77"/>
    <w:rsid w:val="00942EC2"/>
    <w:rsid w:val="009514FF"/>
    <w:rsid w:val="00961B32"/>
    <w:rsid w:val="009664FF"/>
    <w:rsid w:val="009678AB"/>
    <w:rsid w:val="009707EB"/>
    <w:rsid w:val="00972FB8"/>
    <w:rsid w:val="00974BB0"/>
    <w:rsid w:val="00977040"/>
    <w:rsid w:val="009802BA"/>
    <w:rsid w:val="00980D60"/>
    <w:rsid w:val="00983994"/>
    <w:rsid w:val="00987003"/>
    <w:rsid w:val="00987368"/>
    <w:rsid w:val="009905B5"/>
    <w:rsid w:val="009957D3"/>
    <w:rsid w:val="00997B5F"/>
    <w:rsid w:val="00997F3F"/>
    <w:rsid w:val="009A1CFB"/>
    <w:rsid w:val="009A2B55"/>
    <w:rsid w:val="009B04B1"/>
    <w:rsid w:val="009B07CD"/>
    <w:rsid w:val="009C0FC4"/>
    <w:rsid w:val="009C229E"/>
    <w:rsid w:val="009C3AFC"/>
    <w:rsid w:val="009C4BE5"/>
    <w:rsid w:val="009C6446"/>
    <w:rsid w:val="009C7434"/>
    <w:rsid w:val="009D3E41"/>
    <w:rsid w:val="009D52C1"/>
    <w:rsid w:val="009D547F"/>
    <w:rsid w:val="009E6120"/>
    <w:rsid w:val="009E7A4D"/>
    <w:rsid w:val="009F1CA2"/>
    <w:rsid w:val="009F62EC"/>
    <w:rsid w:val="009F6E12"/>
    <w:rsid w:val="00A05E97"/>
    <w:rsid w:val="00A06A73"/>
    <w:rsid w:val="00A10F02"/>
    <w:rsid w:val="00A1189A"/>
    <w:rsid w:val="00A122CF"/>
    <w:rsid w:val="00A12485"/>
    <w:rsid w:val="00A14B2B"/>
    <w:rsid w:val="00A1591D"/>
    <w:rsid w:val="00A3065D"/>
    <w:rsid w:val="00A325B1"/>
    <w:rsid w:val="00A3305F"/>
    <w:rsid w:val="00A33324"/>
    <w:rsid w:val="00A36BCE"/>
    <w:rsid w:val="00A414B7"/>
    <w:rsid w:val="00A41AF6"/>
    <w:rsid w:val="00A42CEF"/>
    <w:rsid w:val="00A45FE2"/>
    <w:rsid w:val="00A47851"/>
    <w:rsid w:val="00A53724"/>
    <w:rsid w:val="00A558DF"/>
    <w:rsid w:val="00A5684F"/>
    <w:rsid w:val="00A575A8"/>
    <w:rsid w:val="00A70614"/>
    <w:rsid w:val="00A70BEF"/>
    <w:rsid w:val="00A7177C"/>
    <w:rsid w:val="00A73D42"/>
    <w:rsid w:val="00A82346"/>
    <w:rsid w:val="00A82E8A"/>
    <w:rsid w:val="00A9671C"/>
    <w:rsid w:val="00AA31D3"/>
    <w:rsid w:val="00AA5E39"/>
    <w:rsid w:val="00AB21D9"/>
    <w:rsid w:val="00AB4D6C"/>
    <w:rsid w:val="00AB638B"/>
    <w:rsid w:val="00AC22FF"/>
    <w:rsid w:val="00AC4BFF"/>
    <w:rsid w:val="00AC7E9C"/>
    <w:rsid w:val="00AD0ACD"/>
    <w:rsid w:val="00AD7DB0"/>
    <w:rsid w:val="00AE040B"/>
    <w:rsid w:val="00AE1560"/>
    <w:rsid w:val="00AE31F8"/>
    <w:rsid w:val="00AF3271"/>
    <w:rsid w:val="00AF45F4"/>
    <w:rsid w:val="00AF474E"/>
    <w:rsid w:val="00B007F4"/>
    <w:rsid w:val="00B00D9F"/>
    <w:rsid w:val="00B00FC1"/>
    <w:rsid w:val="00B05FE9"/>
    <w:rsid w:val="00B075FF"/>
    <w:rsid w:val="00B07A03"/>
    <w:rsid w:val="00B106C3"/>
    <w:rsid w:val="00B151BE"/>
    <w:rsid w:val="00B15449"/>
    <w:rsid w:val="00B1576F"/>
    <w:rsid w:val="00B21FDB"/>
    <w:rsid w:val="00B22A1E"/>
    <w:rsid w:val="00B23656"/>
    <w:rsid w:val="00B30505"/>
    <w:rsid w:val="00B359D8"/>
    <w:rsid w:val="00B35A7C"/>
    <w:rsid w:val="00B3671D"/>
    <w:rsid w:val="00B36A57"/>
    <w:rsid w:val="00B37D83"/>
    <w:rsid w:val="00B403B3"/>
    <w:rsid w:val="00B407B7"/>
    <w:rsid w:val="00B419A4"/>
    <w:rsid w:val="00B41E66"/>
    <w:rsid w:val="00B421F2"/>
    <w:rsid w:val="00B47FD1"/>
    <w:rsid w:val="00B52126"/>
    <w:rsid w:val="00B55E03"/>
    <w:rsid w:val="00B62C44"/>
    <w:rsid w:val="00B643EA"/>
    <w:rsid w:val="00B65110"/>
    <w:rsid w:val="00B729FF"/>
    <w:rsid w:val="00B75553"/>
    <w:rsid w:val="00B7710D"/>
    <w:rsid w:val="00B81C48"/>
    <w:rsid w:val="00B84530"/>
    <w:rsid w:val="00B858DB"/>
    <w:rsid w:val="00B85923"/>
    <w:rsid w:val="00B92EFB"/>
    <w:rsid w:val="00B93022"/>
    <w:rsid w:val="00B958F1"/>
    <w:rsid w:val="00B9597D"/>
    <w:rsid w:val="00B96C86"/>
    <w:rsid w:val="00B97043"/>
    <w:rsid w:val="00BA0577"/>
    <w:rsid w:val="00BA247D"/>
    <w:rsid w:val="00BA73B5"/>
    <w:rsid w:val="00BB17FC"/>
    <w:rsid w:val="00BB2E05"/>
    <w:rsid w:val="00BB2EC9"/>
    <w:rsid w:val="00BB3280"/>
    <w:rsid w:val="00BB4A3B"/>
    <w:rsid w:val="00BB5AD8"/>
    <w:rsid w:val="00BC41C7"/>
    <w:rsid w:val="00BC4D65"/>
    <w:rsid w:val="00BC58B7"/>
    <w:rsid w:val="00BC5E3A"/>
    <w:rsid w:val="00BC7898"/>
    <w:rsid w:val="00BD0A57"/>
    <w:rsid w:val="00BE20DF"/>
    <w:rsid w:val="00BE5542"/>
    <w:rsid w:val="00BE749D"/>
    <w:rsid w:val="00BF021E"/>
    <w:rsid w:val="00BF4D83"/>
    <w:rsid w:val="00BF4DCA"/>
    <w:rsid w:val="00BF7487"/>
    <w:rsid w:val="00C013D6"/>
    <w:rsid w:val="00C10CB9"/>
    <w:rsid w:val="00C118CE"/>
    <w:rsid w:val="00C12B51"/>
    <w:rsid w:val="00C138C4"/>
    <w:rsid w:val="00C16CAB"/>
    <w:rsid w:val="00C21472"/>
    <w:rsid w:val="00C2422B"/>
    <w:rsid w:val="00C24683"/>
    <w:rsid w:val="00C33045"/>
    <w:rsid w:val="00C33079"/>
    <w:rsid w:val="00C47C10"/>
    <w:rsid w:val="00C50588"/>
    <w:rsid w:val="00C522DE"/>
    <w:rsid w:val="00C523F4"/>
    <w:rsid w:val="00C545DC"/>
    <w:rsid w:val="00C57DCA"/>
    <w:rsid w:val="00C608C8"/>
    <w:rsid w:val="00C60F8F"/>
    <w:rsid w:val="00C64830"/>
    <w:rsid w:val="00C659DA"/>
    <w:rsid w:val="00C67C94"/>
    <w:rsid w:val="00C70261"/>
    <w:rsid w:val="00C71234"/>
    <w:rsid w:val="00C737CC"/>
    <w:rsid w:val="00C81D15"/>
    <w:rsid w:val="00C83A13"/>
    <w:rsid w:val="00C905FB"/>
    <w:rsid w:val="00C91888"/>
    <w:rsid w:val="00C92182"/>
    <w:rsid w:val="00C92312"/>
    <w:rsid w:val="00CA3D0C"/>
    <w:rsid w:val="00CA7F1B"/>
    <w:rsid w:val="00CB4FB2"/>
    <w:rsid w:val="00CB69BA"/>
    <w:rsid w:val="00CB7E17"/>
    <w:rsid w:val="00CC126A"/>
    <w:rsid w:val="00CC1E29"/>
    <w:rsid w:val="00CC4CBC"/>
    <w:rsid w:val="00CC559E"/>
    <w:rsid w:val="00CC7621"/>
    <w:rsid w:val="00CD4C7B"/>
    <w:rsid w:val="00CD7510"/>
    <w:rsid w:val="00CE0A31"/>
    <w:rsid w:val="00CE1DFE"/>
    <w:rsid w:val="00CE2626"/>
    <w:rsid w:val="00CE4AA6"/>
    <w:rsid w:val="00CE58A8"/>
    <w:rsid w:val="00CF14BD"/>
    <w:rsid w:val="00CF18E5"/>
    <w:rsid w:val="00D00A0F"/>
    <w:rsid w:val="00D0150E"/>
    <w:rsid w:val="00D0346A"/>
    <w:rsid w:val="00D13397"/>
    <w:rsid w:val="00D135DC"/>
    <w:rsid w:val="00D203BA"/>
    <w:rsid w:val="00D20564"/>
    <w:rsid w:val="00D30C3E"/>
    <w:rsid w:val="00D338A9"/>
    <w:rsid w:val="00D34E5E"/>
    <w:rsid w:val="00D37B5B"/>
    <w:rsid w:val="00D50815"/>
    <w:rsid w:val="00D5329B"/>
    <w:rsid w:val="00D60B91"/>
    <w:rsid w:val="00D66247"/>
    <w:rsid w:val="00D70829"/>
    <w:rsid w:val="00D70CC2"/>
    <w:rsid w:val="00D738D6"/>
    <w:rsid w:val="00D80795"/>
    <w:rsid w:val="00D83270"/>
    <w:rsid w:val="00D84458"/>
    <w:rsid w:val="00D87E00"/>
    <w:rsid w:val="00D9134D"/>
    <w:rsid w:val="00D93803"/>
    <w:rsid w:val="00D94F9F"/>
    <w:rsid w:val="00D95CF9"/>
    <w:rsid w:val="00D96D11"/>
    <w:rsid w:val="00D97702"/>
    <w:rsid w:val="00DA3A11"/>
    <w:rsid w:val="00DA3EDB"/>
    <w:rsid w:val="00DA7A03"/>
    <w:rsid w:val="00DB1818"/>
    <w:rsid w:val="00DB44F7"/>
    <w:rsid w:val="00DB5C8B"/>
    <w:rsid w:val="00DC1D94"/>
    <w:rsid w:val="00DC309B"/>
    <w:rsid w:val="00DC46CC"/>
    <w:rsid w:val="00DC4DA2"/>
    <w:rsid w:val="00DD650B"/>
    <w:rsid w:val="00DE71DA"/>
    <w:rsid w:val="00DF416E"/>
    <w:rsid w:val="00DF59E1"/>
    <w:rsid w:val="00DF739E"/>
    <w:rsid w:val="00E001D3"/>
    <w:rsid w:val="00E03893"/>
    <w:rsid w:val="00E1575F"/>
    <w:rsid w:val="00E16432"/>
    <w:rsid w:val="00E16739"/>
    <w:rsid w:val="00E223B2"/>
    <w:rsid w:val="00E245FD"/>
    <w:rsid w:val="00E275A4"/>
    <w:rsid w:val="00E302E3"/>
    <w:rsid w:val="00E33458"/>
    <w:rsid w:val="00E36231"/>
    <w:rsid w:val="00E4045F"/>
    <w:rsid w:val="00E50A28"/>
    <w:rsid w:val="00E53962"/>
    <w:rsid w:val="00E5474E"/>
    <w:rsid w:val="00E55810"/>
    <w:rsid w:val="00E6140C"/>
    <w:rsid w:val="00E61AC1"/>
    <w:rsid w:val="00E622D3"/>
    <w:rsid w:val="00E62835"/>
    <w:rsid w:val="00E63184"/>
    <w:rsid w:val="00E6582C"/>
    <w:rsid w:val="00E67834"/>
    <w:rsid w:val="00E679B1"/>
    <w:rsid w:val="00E72AF7"/>
    <w:rsid w:val="00E743E5"/>
    <w:rsid w:val="00E7504C"/>
    <w:rsid w:val="00E76123"/>
    <w:rsid w:val="00E77645"/>
    <w:rsid w:val="00E779F0"/>
    <w:rsid w:val="00E77E70"/>
    <w:rsid w:val="00E80B82"/>
    <w:rsid w:val="00E811ED"/>
    <w:rsid w:val="00E85882"/>
    <w:rsid w:val="00E85C83"/>
    <w:rsid w:val="00E915F0"/>
    <w:rsid w:val="00E92666"/>
    <w:rsid w:val="00E92AC9"/>
    <w:rsid w:val="00E93DCB"/>
    <w:rsid w:val="00E9454B"/>
    <w:rsid w:val="00EA05AE"/>
    <w:rsid w:val="00EA07EA"/>
    <w:rsid w:val="00EA399D"/>
    <w:rsid w:val="00EA50F9"/>
    <w:rsid w:val="00EB2948"/>
    <w:rsid w:val="00EC4297"/>
    <w:rsid w:val="00EC4A25"/>
    <w:rsid w:val="00ED6B49"/>
    <w:rsid w:val="00EE0F99"/>
    <w:rsid w:val="00EE4C68"/>
    <w:rsid w:val="00EE4D8F"/>
    <w:rsid w:val="00EE61A4"/>
    <w:rsid w:val="00EF32C4"/>
    <w:rsid w:val="00EF431C"/>
    <w:rsid w:val="00EF4F87"/>
    <w:rsid w:val="00EF6B50"/>
    <w:rsid w:val="00F0096D"/>
    <w:rsid w:val="00F01491"/>
    <w:rsid w:val="00F025A2"/>
    <w:rsid w:val="00F050AD"/>
    <w:rsid w:val="00F07388"/>
    <w:rsid w:val="00F078C8"/>
    <w:rsid w:val="00F10322"/>
    <w:rsid w:val="00F106FC"/>
    <w:rsid w:val="00F110DD"/>
    <w:rsid w:val="00F139BA"/>
    <w:rsid w:val="00F168B8"/>
    <w:rsid w:val="00F2026E"/>
    <w:rsid w:val="00F2210A"/>
    <w:rsid w:val="00F360F1"/>
    <w:rsid w:val="00F37743"/>
    <w:rsid w:val="00F40C4F"/>
    <w:rsid w:val="00F419F4"/>
    <w:rsid w:val="00F41F1B"/>
    <w:rsid w:val="00F42D7D"/>
    <w:rsid w:val="00F437DA"/>
    <w:rsid w:val="00F47A9B"/>
    <w:rsid w:val="00F54A3D"/>
    <w:rsid w:val="00F57A8E"/>
    <w:rsid w:val="00F61B3C"/>
    <w:rsid w:val="00F653B8"/>
    <w:rsid w:val="00F6613D"/>
    <w:rsid w:val="00F66F1E"/>
    <w:rsid w:val="00F743A2"/>
    <w:rsid w:val="00F746ED"/>
    <w:rsid w:val="00F76F8F"/>
    <w:rsid w:val="00F776EB"/>
    <w:rsid w:val="00F81833"/>
    <w:rsid w:val="00F826F8"/>
    <w:rsid w:val="00F82E70"/>
    <w:rsid w:val="00F8351D"/>
    <w:rsid w:val="00F83E7E"/>
    <w:rsid w:val="00F86180"/>
    <w:rsid w:val="00F909AE"/>
    <w:rsid w:val="00F93672"/>
    <w:rsid w:val="00F9595C"/>
    <w:rsid w:val="00F95998"/>
    <w:rsid w:val="00F9789D"/>
    <w:rsid w:val="00FA1266"/>
    <w:rsid w:val="00FA5190"/>
    <w:rsid w:val="00FA587D"/>
    <w:rsid w:val="00FA7EDB"/>
    <w:rsid w:val="00FB536C"/>
    <w:rsid w:val="00FB5B7B"/>
    <w:rsid w:val="00FB66B2"/>
    <w:rsid w:val="00FB7208"/>
    <w:rsid w:val="00FC1192"/>
    <w:rsid w:val="00FC3FB2"/>
    <w:rsid w:val="00FC562B"/>
    <w:rsid w:val="00FC6C6F"/>
    <w:rsid w:val="00FD00C4"/>
    <w:rsid w:val="00FD03D1"/>
    <w:rsid w:val="00FD11FE"/>
    <w:rsid w:val="00FD1732"/>
    <w:rsid w:val="00FD4976"/>
    <w:rsid w:val="00FD5CE7"/>
    <w:rsid w:val="00FD5DB4"/>
    <w:rsid w:val="00FD7E09"/>
    <w:rsid w:val="00FE2651"/>
    <w:rsid w:val="00FF0D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F059DD"/>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paragraph" w:customStyle="1" w:styleId="00BodyText">
    <w:name w:val="00 BodyText"/>
    <w:basedOn w:val="Normal"/>
    <w:rsid w:val="00C81D15"/>
    <w:pPr>
      <w:spacing w:after="220"/>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78218">
      <w:bodyDiv w:val="1"/>
      <w:marLeft w:val="0"/>
      <w:marRight w:val="0"/>
      <w:marTop w:val="0"/>
      <w:marBottom w:val="0"/>
      <w:divBdr>
        <w:top w:val="none" w:sz="0" w:space="0" w:color="auto"/>
        <w:left w:val="none" w:sz="0" w:space="0" w:color="auto"/>
        <w:bottom w:val="none" w:sz="0" w:space="0" w:color="auto"/>
        <w:right w:val="none" w:sz="0" w:space="0" w:color="auto"/>
      </w:divBdr>
      <w:divsChild>
        <w:div w:id="1049107935">
          <w:marLeft w:val="1699"/>
          <w:marRight w:val="0"/>
          <w:marTop w:val="77"/>
          <w:marBottom w:val="0"/>
          <w:divBdr>
            <w:top w:val="none" w:sz="0" w:space="0" w:color="auto"/>
            <w:left w:val="none" w:sz="0" w:space="0" w:color="auto"/>
            <w:bottom w:val="none" w:sz="0" w:space="0" w:color="auto"/>
            <w:right w:val="none" w:sz="0" w:space="0" w:color="auto"/>
          </w:divBdr>
        </w:div>
      </w:divsChild>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994987420">
      <w:bodyDiv w:val="1"/>
      <w:marLeft w:val="0"/>
      <w:marRight w:val="0"/>
      <w:marTop w:val="0"/>
      <w:marBottom w:val="0"/>
      <w:divBdr>
        <w:top w:val="none" w:sz="0" w:space="0" w:color="auto"/>
        <w:left w:val="none" w:sz="0" w:space="0" w:color="auto"/>
        <w:bottom w:val="none" w:sz="0" w:space="0" w:color="auto"/>
        <w:right w:val="none" w:sz="0" w:space="0" w:color="auto"/>
      </w:divBdr>
      <w:divsChild>
        <w:div w:id="263196756">
          <w:marLeft w:val="432"/>
          <w:marRight w:val="0"/>
          <w:marTop w:val="86"/>
          <w:marBottom w:val="0"/>
          <w:divBdr>
            <w:top w:val="none" w:sz="0" w:space="0" w:color="auto"/>
            <w:left w:val="none" w:sz="0" w:space="0" w:color="auto"/>
            <w:bottom w:val="none" w:sz="0" w:space="0" w:color="auto"/>
            <w:right w:val="none" w:sz="0" w:space="0" w:color="auto"/>
          </w:divBdr>
        </w:div>
        <w:div w:id="1101798974">
          <w:marLeft w:val="850"/>
          <w:marRight w:val="0"/>
          <w:marTop w:val="77"/>
          <w:marBottom w:val="0"/>
          <w:divBdr>
            <w:top w:val="none" w:sz="0" w:space="0" w:color="auto"/>
            <w:left w:val="none" w:sz="0" w:space="0" w:color="auto"/>
            <w:bottom w:val="none" w:sz="0" w:space="0" w:color="auto"/>
            <w:right w:val="none" w:sz="0" w:space="0" w:color="auto"/>
          </w:divBdr>
        </w:div>
        <w:div w:id="1622683881">
          <w:marLeft w:val="1267"/>
          <w:marRight w:val="0"/>
          <w:marTop w:val="77"/>
          <w:marBottom w:val="0"/>
          <w:divBdr>
            <w:top w:val="none" w:sz="0" w:space="0" w:color="auto"/>
            <w:left w:val="none" w:sz="0" w:space="0" w:color="auto"/>
            <w:bottom w:val="none" w:sz="0" w:space="0" w:color="auto"/>
            <w:right w:val="none" w:sz="0" w:space="0" w:color="auto"/>
          </w:divBdr>
        </w:div>
        <w:div w:id="1156530560">
          <w:marLeft w:val="1699"/>
          <w:marRight w:val="0"/>
          <w:marTop w:val="77"/>
          <w:marBottom w:val="0"/>
          <w:divBdr>
            <w:top w:val="none" w:sz="0" w:space="0" w:color="auto"/>
            <w:left w:val="none" w:sz="0" w:space="0" w:color="auto"/>
            <w:bottom w:val="none" w:sz="0" w:space="0" w:color="auto"/>
            <w:right w:val="none" w:sz="0" w:space="0" w:color="auto"/>
          </w:divBdr>
        </w:div>
        <w:div w:id="703942924">
          <w:marLeft w:val="2117"/>
          <w:marRight w:val="0"/>
          <w:marTop w:val="67"/>
          <w:marBottom w:val="0"/>
          <w:divBdr>
            <w:top w:val="none" w:sz="0" w:space="0" w:color="auto"/>
            <w:left w:val="none" w:sz="0" w:space="0" w:color="auto"/>
            <w:bottom w:val="none" w:sz="0" w:space="0" w:color="auto"/>
            <w:right w:val="none" w:sz="0" w:space="0" w:color="auto"/>
          </w:divBdr>
        </w:div>
        <w:div w:id="965047440">
          <w:marLeft w:val="1267"/>
          <w:marRight w:val="0"/>
          <w:marTop w:val="77"/>
          <w:marBottom w:val="0"/>
          <w:divBdr>
            <w:top w:val="none" w:sz="0" w:space="0" w:color="auto"/>
            <w:left w:val="none" w:sz="0" w:space="0" w:color="auto"/>
            <w:bottom w:val="none" w:sz="0" w:space="0" w:color="auto"/>
            <w:right w:val="none" w:sz="0" w:space="0" w:color="auto"/>
          </w:divBdr>
        </w:div>
        <w:div w:id="2091922484">
          <w:marLeft w:val="1699"/>
          <w:marRight w:val="0"/>
          <w:marTop w:val="77"/>
          <w:marBottom w:val="0"/>
          <w:divBdr>
            <w:top w:val="none" w:sz="0" w:space="0" w:color="auto"/>
            <w:left w:val="none" w:sz="0" w:space="0" w:color="auto"/>
            <w:bottom w:val="none" w:sz="0" w:space="0" w:color="auto"/>
            <w:right w:val="none" w:sz="0" w:space="0" w:color="auto"/>
          </w:divBdr>
        </w:div>
      </w:divsChild>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4984498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49963896">
      <w:bodyDiv w:val="1"/>
      <w:marLeft w:val="0"/>
      <w:marRight w:val="0"/>
      <w:marTop w:val="0"/>
      <w:marBottom w:val="0"/>
      <w:divBdr>
        <w:top w:val="none" w:sz="0" w:space="0" w:color="auto"/>
        <w:left w:val="none" w:sz="0" w:space="0" w:color="auto"/>
        <w:bottom w:val="none" w:sz="0" w:space="0" w:color="auto"/>
        <w:right w:val="none" w:sz="0" w:space="0" w:color="auto"/>
      </w:divBdr>
      <w:divsChild>
        <w:div w:id="1932934091">
          <w:marLeft w:val="1699"/>
          <w:marRight w:val="0"/>
          <w:marTop w:val="77"/>
          <w:marBottom w:val="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78733700">
      <w:bodyDiv w:val="1"/>
      <w:marLeft w:val="0"/>
      <w:marRight w:val="0"/>
      <w:marTop w:val="0"/>
      <w:marBottom w:val="0"/>
      <w:divBdr>
        <w:top w:val="none" w:sz="0" w:space="0" w:color="auto"/>
        <w:left w:val="none" w:sz="0" w:space="0" w:color="auto"/>
        <w:bottom w:val="none" w:sz="0" w:space="0" w:color="auto"/>
        <w:right w:val="none" w:sz="0" w:space="0" w:color="auto"/>
      </w:divBdr>
      <w:divsChild>
        <w:div w:id="942342353">
          <w:marLeft w:val="547"/>
          <w:marRight w:val="0"/>
          <w:marTop w:val="86"/>
          <w:marBottom w:val="0"/>
          <w:divBdr>
            <w:top w:val="none" w:sz="0" w:space="0" w:color="auto"/>
            <w:left w:val="none" w:sz="0" w:space="0" w:color="auto"/>
            <w:bottom w:val="none" w:sz="0" w:space="0" w:color="auto"/>
            <w:right w:val="none" w:sz="0" w:space="0" w:color="auto"/>
          </w:divBdr>
        </w:div>
        <w:div w:id="1694460357">
          <w:marLeft w:val="547"/>
          <w:marRight w:val="0"/>
          <w:marTop w:val="86"/>
          <w:marBottom w:val="0"/>
          <w:divBdr>
            <w:top w:val="none" w:sz="0" w:space="0" w:color="auto"/>
            <w:left w:val="none" w:sz="0" w:space="0" w:color="auto"/>
            <w:bottom w:val="none" w:sz="0" w:space="0" w:color="auto"/>
            <w:right w:val="none" w:sz="0" w:space="0" w:color="auto"/>
          </w:divBdr>
        </w:div>
        <w:div w:id="872692017">
          <w:marLeft w:val="547"/>
          <w:marRight w:val="0"/>
          <w:marTop w:val="86"/>
          <w:marBottom w:val="0"/>
          <w:divBdr>
            <w:top w:val="none" w:sz="0" w:space="0" w:color="auto"/>
            <w:left w:val="none" w:sz="0" w:space="0" w:color="auto"/>
            <w:bottom w:val="none" w:sz="0" w:space="0" w:color="auto"/>
            <w:right w:val="none" w:sz="0" w:space="0" w:color="auto"/>
          </w:divBdr>
        </w:div>
        <w:div w:id="487403256">
          <w:marLeft w:val="1166"/>
          <w:marRight w:val="0"/>
          <w:marTop w:val="86"/>
          <w:marBottom w:val="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R112</b:Tag>
    <b:SourceType>Misc</b:SourceType>
    <b:Guid>{689A820C-4410-4BE5-A9D8-CDB182F90A3F}</b:Guid>
    <b:Author>
      <b:Author>
        <b:NameList>
          <b:Person>
            <b:Last>R1-1613597</b:Last>
          </b:Person>
        </b:NameList>
      </b:Author>
    </b:Author>
    <b:Title>WF on pi/2 BPSK Modulation (Additional low PAPR Technique)</b:Title>
    <b:RefOrder>4</b:RefOrder>
  </b:Source>
</b:Sources>
</file>

<file path=customXml/itemProps1.xml><?xml version="1.0" encoding="utf-8"?>
<ds:datastoreItem xmlns:ds="http://schemas.openxmlformats.org/officeDocument/2006/customXml" ds:itemID="{AAF3D166-F426-4C32-9E38-ECF908C8E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713</Words>
  <Characters>5782</Characters>
  <Application>Microsoft Office Word</Application>
  <DocSecurity>0</DocSecurity>
  <Lines>48</Lines>
  <Paragraphs>12</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6483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Saynajakangas, Tuomo (Nokia - FI/Oulu)</cp:lastModifiedBy>
  <cp:revision>2</cp:revision>
  <dcterms:created xsi:type="dcterms:W3CDTF">2017-02-03T12:53:00Z</dcterms:created>
  <dcterms:modified xsi:type="dcterms:W3CDTF">2017-02-03T12:53:00Z</dcterms:modified>
</cp:coreProperties>
</file>