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101-bis-e</w:t>
      </w:r>
      <w:r>
        <w:rPr>
          <w:rFonts w:hint="eastAsia" w:ascii="Arial" w:hAnsi="Arial" w:eastAsia="宋体" w:cs="Times New Roman"/>
          <w:b/>
          <w:bCs/>
          <w:sz w:val="24"/>
          <w:szCs w:val="24"/>
          <w:lang w:val="en-GB"/>
        </w:rPr>
        <w:tab/>
      </w:r>
      <w:r>
        <w:rPr>
          <w:rFonts w:hint="eastAsia" w:ascii="Arial" w:hAnsi="Arial" w:eastAsia="宋体" w:cs="Arial"/>
          <w:b/>
          <w:bCs/>
          <w:sz w:val="24"/>
          <w:lang w:val="en-US" w:eastAsia="zh-CN"/>
        </w:rPr>
        <w:t>R4-2200741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 xml:space="preserve">Electronic Meeting, </w:t>
      </w:r>
      <w:r>
        <w:rPr>
          <w:rFonts w:ascii="Arial" w:hAnsi="Arial" w:eastAsia="宋体" w:cs="Arial"/>
          <w:b/>
          <w:sz w:val="24"/>
          <w:szCs w:val="24"/>
          <w:lang w:eastAsia="zh-CN"/>
        </w:rPr>
        <w:t>January 17-25,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bookmarkStart w:id="4" w:name="_GoBack"/>
      <w:bookmarkEnd w:id="4"/>
    </w:p>
    <w:p>
      <w:pPr>
        <w:tabs>
          <w:tab w:val="left" w:pos="1985"/>
        </w:tabs>
        <w:ind w:left="1985" w:hanging="1985"/>
        <w:jc w:val="both"/>
        <w:rPr>
          <w:rFonts w:ascii="Arial" w:hAnsi="Arial" w:eastAsia="宋体" w:cs="Arial"/>
          <w:b/>
          <w:bCs/>
          <w:sz w:val="24"/>
          <w:lang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eastAsia="zh-CN"/>
        </w:rPr>
        <w:t>ZTE</w:t>
      </w:r>
      <w:r>
        <w:rPr>
          <w:rFonts w:ascii="Arial" w:hAnsi="Arial" w:eastAsia="Calibri" w:cs="Arial"/>
          <w:b/>
          <w:bCs/>
          <w:sz w:val="24"/>
          <w:lang w:val="en-GB"/>
        </w:rPr>
        <w:t xml:space="preserve"> </w:t>
      </w:r>
      <w:r>
        <w:rPr>
          <w:rFonts w:hint="eastAsia" w:ascii="Arial" w:hAnsi="Arial" w:eastAsia="宋体" w:cs="Arial"/>
          <w:b/>
          <w:bCs/>
          <w:sz w:val="24"/>
          <w:lang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PUCCH SCell activation and deactivation</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6.10.2.3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2"/>
        </w:rPr>
        <w:t>ductio</w:t>
      </w:r>
      <w:r>
        <w:rPr>
          <w:rFonts w:ascii="Arial" w:hAnsi="Arial" w:eastAsia="宋体" w:cs="Times New Roman"/>
          <w:sz w:val="36"/>
          <w:szCs w:val="20"/>
          <w:lang w:val="en-GB"/>
        </w:rPr>
        <w:t>n</w:t>
      </w:r>
    </w:p>
    <w:p>
      <w:pPr>
        <w:rPr>
          <w:rFonts w:hint="default" w:eastAsia="宋体"/>
          <w:sz w:val="22"/>
          <w:lang w:val="en-US" w:eastAsia="zh-CN"/>
        </w:rPr>
      </w:pPr>
      <w:r>
        <w:rPr>
          <w:rFonts w:hint="eastAsia" w:eastAsia="宋体"/>
          <w:sz w:val="22"/>
          <w:lang w:val="en-US" w:eastAsia="zh-CN"/>
        </w:rPr>
        <w:t>In the last 101-e meeting, RRM requirements for PUCCH SCell activation and deactivation were discussed and a WF was approved [1]. In this contribution ,we further provide our understandings on the open issues.</w:t>
      </w:r>
    </w:p>
    <w:p>
      <w:pPr>
        <w:pStyle w:val="29"/>
        <w:numPr>
          <w:ilvl w:val="0"/>
          <w:numId w:val="6"/>
        </w:numPr>
        <w:jc w:val="both"/>
        <w:rPr>
          <w:rFonts w:hint="eastAsia"/>
          <w:lang w:val="en-US" w:eastAsia="zh-CN"/>
        </w:rPr>
      </w:pPr>
      <w:r>
        <w:rPr>
          <w:rFonts w:hint="eastAsia"/>
          <w:lang w:val="en-US" w:eastAsia="zh-CN"/>
        </w:rPr>
        <w:t>Discussion</w:t>
      </w: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pStyle w:val="4"/>
              <w:pBdr>
                <w:top w:val="none" w:color="auto" w:sz="0" w:space="0"/>
              </w:pBdr>
              <w:spacing w:before="120" w:after="180" w:line="240" w:lineRule="auto"/>
              <w:rPr>
                <w:rFonts w:hint="eastAsia" w:ascii="Arial" w:hAnsi="Arial" w:cs="Times New Roman"/>
                <w:b/>
                <w:color w:val="auto"/>
                <w:sz w:val="21"/>
                <w:szCs w:val="18"/>
                <w:u w:val="single"/>
                <w:lang w:val="sv-SE" w:eastAsia="zh-CN" w:bidi="ar-SA"/>
              </w:rPr>
            </w:pPr>
            <w:r>
              <w:rPr>
                <w:rFonts w:hint="eastAsia" w:ascii="Arial" w:hAnsi="Arial" w:cs="Times New Roman"/>
                <w:b/>
                <w:color w:val="auto"/>
                <w:sz w:val="21"/>
                <w:szCs w:val="18"/>
                <w:u w:val="single"/>
                <w:lang w:val="sv-SE" w:eastAsia="zh-CN" w:bidi="ar-SA"/>
              </w:rPr>
              <w:t>Issue 1-4-1: The PUCCH SCell activation requirements for invalid TA case</w:t>
            </w:r>
          </w:p>
          <w:p>
            <w:pPr>
              <w:rPr>
                <w:i/>
                <w:lang w:val="sv-SE" w:eastAsia="zh-CN"/>
              </w:rPr>
            </w:pPr>
            <w:r>
              <w:rPr>
                <w:i/>
                <w:lang w:val="sv-SE" w:eastAsia="zh-CN"/>
              </w:rPr>
              <w:t>O</w:t>
            </w:r>
            <w:r>
              <w:rPr>
                <w:rFonts w:hint="eastAsia"/>
                <w:i/>
                <w:lang w:val="sv-SE" w:eastAsia="zh-CN"/>
              </w:rPr>
              <w:t xml:space="preserve">pen issue: </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hint="eastAsia" w:eastAsia="宋体"/>
                <w:szCs w:val="24"/>
                <w:lang w:eastAsia="zh-CN"/>
              </w:rPr>
              <w:t>Option 1</w:t>
            </w:r>
            <w:r>
              <w:rPr>
                <w:rFonts w:eastAsia="宋体"/>
                <w:szCs w:val="24"/>
                <w:lang w:eastAsia="zh-CN"/>
              </w:rPr>
              <w:t>: (</w:t>
            </w:r>
            <w:r>
              <w:rPr>
                <w:rFonts w:hint="eastAsia" w:eastAsia="宋体"/>
                <w:szCs w:val="24"/>
                <w:lang w:eastAsia="zh-CN"/>
              </w:rPr>
              <w:t>CATT</w:t>
            </w:r>
            <w:r>
              <w:rPr>
                <w:rFonts w:eastAsia="宋体"/>
                <w:szCs w:val="24"/>
                <w:lang w:eastAsia="zh-CN"/>
              </w:rPr>
              <w:t>)</w:t>
            </w:r>
          </w:p>
          <w:p>
            <w:pPr>
              <w:pStyle w:val="27"/>
              <w:numPr>
                <w:ilvl w:val="1"/>
                <w:numId w:val="7"/>
              </w:numPr>
              <w:overflowPunct/>
              <w:autoSpaceDE/>
              <w:autoSpaceDN/>
              <w:adjustRightInd/>
              <w:spacing w:after="120" w:line="259" w:lineRule="auto"/>
              <w:ind w:firstLineChars="0"/>
              <w:textAlignment w:val="auto"/>
              <w:rPr>
                <w:rFonts w:eastAsiaTheme="minorEastAsia"/>
                <w:lang w:val="pl-PL"/>
              </w:rPr>
            </w:pPr>
            <w:r>
              <w:rPr>
                <w:rFonts w:hint="eastAsia" w:eastAsiaTheme="minorEastAsia"/>
                <w:lang w:val="pl-PL"/>
              </w:rPr>
              <w:t>The PUCCH S</w:t>
            </w:r>
            <w:r>
              <w:rPr>
                <w:rFonts w:eastAsiaTheme="minorEastAsia"/>
                <w:lang w:val="pl-PL"/>
              </w:rPr>
              <w:t>c</w:t>
            </w:r>
            <w:r>
              <w:rPr>
                <w:rFonts w:hint="eastAsia" w:eastAsiaTheme="minorEastAsia"/>
                <w:lang w:val="pl-PL"/>
              </w:rPr>
              <w:t xml:space="preserve">ell activation requirements for invalid TA case is defined as </w:t>
            </w:r>
            <w:r>
              <w:rPr>
                <w:rFonts w:eastAsiaTheme="minorEastAsia"/>
                <w:lang w:val="pl-PL"/>
              </w:rPr>
              <w:t>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hint="eastAsia" w:eastAsiaTheme="minorEastAsia"/>
                <w:lang w:val="pl-PL"/>
              </w:rPr>
              <w:t xml:space="preserve"> </w:t>
            </w:r>
            <w:r>
              <w:rPr>
                <w:rFonts w:eastAsiaTheme="minorEastAsia"/>
                <w:lang w:val="pl-PL"/>
              </w:rPr>
              <w:t>+</w:t>
            </w:r>
            <w:r>
              <w:rPr>
                <w:rFonts w:hint="eastAsia" w:eastAsiaTheme="minorEastAsia"/>
                <w:lang w:val="pl-PL"/>
              </w:rPr>
              <w:t xml:space="preserve"> T</w:t>
            </w:r>
            <w:r>
              <w:rPr>
                <w:rFonts w:hint="eastAsia" w:eastAsiaTheme="minorEastAsia"/>
                <w:vertAlign w:val="subscript"/>
                <w:lang w:val="pl-PL"/>
              </w:rPr>
              <w:t>PDCCH</w:t>
            </w:r>
            <w:r>
              <w:rPr>
                <w:rFonts w:eastAsiaTheme="minorEastAsia"/>
                <w:lang w:val="pl-PL"/>
              </w:rPr>
              <w:t xml:space="preserve"> + T</w:t>
            </w:r>
            <w:r>
              <w:rPr>
                <w:rFonts w:eastAsiaTheme="minorEastAsia"/>
                <w:vertAlign w:val="subscript"/>
                <w:lang w:val="pl-PL"/>
              </w:rPr>
              <w:t>1</w:t>
            </w:r>
            <w:r>
              <w:rPr>
                <w:rFonts w:hint="eastAsia" w:eastAsiaTheme="minorEastAsia"/>
                <w:lang w:val="pl-PL"/>
              </w:rPr>
              <w:t xml:space="preserve"> + </w:t>
            </w:r>
            <w:r>
              <w:rPr>
                <w:rFonts w:eastAsiaTheme="minorEastAsia"/>
                <w:lang w:val="pl-PL"/>
              </w:rPr>
              <w:t>T</w:t>
            </w:r>
            <w:r>
              <w:rPr>
                <w:rFonts w:hint="eastAsia" w:eastAsiaTheme="minorEastAsia"/>
                <w:vertAlign w:val="subscript"/>
                <w:lang w:val="pl-PL"/>
              </w:rPr>
              <w:t>2</w:t>
            </w:r>
            <w:r>
              <w:rPr>
                <w:rFonts w:hint="eastAsia" w:eastAsiaTheme="minorEastAsia"/>
                <w:lang w:val="pl-PL"/>
              </w:rPr>
              <w:t xml:space="preserve"> +</w:t>
            </w:r>
            <w:r>
              <w:rPr>
                <w:rFonts w:eastAsiaTheme="minorEastAsia"/>
                <w:lang w:val="pl-PL"/>
              </w:rPr>
              <w:t xml:space="preserve"> T</w:t>
            </w:r>
            <w:r>
              <w:rPr>
                <w:rFonts w:hint="eastAsia" w:eastAsiaTheme="minorEastAsia"/>
                <w:vertAlign w:val="subscript"/>
                <w:lang w:val="pl-PL"/>
              </w:rPr>
              <w:t>3</w:t>
            </w:r>
            <w:r>
              <w:rPr>
                <w:rFonts w:hint="eastAsia" w:eastAsiaTheme="minorEastAsia"/>
                <w:lang w:val="pl-PL"/>
              </w:rPr>
              <w:t xml:space="preserve"> +</w:t>
            </w:r>
            <w:r>
              <w:rPr>
                <w:rFonts w:eastAsiaTheme="minorEastAsia"/>
                <w:lang w:val="pl-PL"/>
              </w:rPr>
              <w:t xml:space="preserve"> T</w:t>
            </w:r>
            <w:r>
              <w:rPr>
                <w:rFonts w:eastAsiaTheme="minorEastAsia"/>
                <w:vertAlign w:val="subscript"/>
                <w:lang w:val="pl-PL"/>
              </w:rPr>
              <w:t>CSI_Reporting</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hint="eastAsia" w:eastAsia="宋体"/>
                <w:szCs w:val="24"/>
                <w:lang w:eastAsia="zh-CN"/>
              </w:rPr>
              <w:t>Option 2</w:t>
            </w:r>
            <w:r>
              <w:rPr>
                <w:rFonts w:eastAsia="宋体"/>
                <w:szCs w:val="24"/>
                <w:lang w:eastAsia="zh-CN"/>
              </w:rPr>
              <w:t>: (</w:t>
            </w:r>
            <w:r>
              <w:rPr>
                <w:rFonts w:hint="eastAsia" w:eastAsia="宋体"/>
                <w:szCs w:val="24"/>
                <w:lang w:eastAsia="zh-CN"/>
              </w:rPr>
              <w:t>Qualcomm, Apple, Huawei, NTT DOCOMO, CMCC, vivo, Xiaomi, Intel, MTK, OPPO, ZTE, Ericsson</w:t>
            </w:r>
            <w:r>
              <w:rPr>
                <w:rFonts w:eastAsia="宋体"/>
                <w:szCs w:val="24"/>
                <w:lang w:eastAsia="zh-CN"/>
              </w:rPr>
              <w:t>)</w:t>
            </w:r>
          </w:p>
          <w:p>
            <w:pPr>
              <w:pStyle w:val="27"/>
              <w:numPr>
                <w:ilvl w:val="1"/>
                <w:numId w:val="7"/>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If UE does not have the valid TA on the PUCCH Scell being activated, an additional UL synchronization procedure to obtain the valid TA comparing to ( T</w:t>
            </w:r>
            <w:r>
              <w:rPr>
                <w:rFonts w:eastAsiaTheme="minorEastAsia"/>
                <w:vertAlign w:val="subscript"/>
                <w:lang w:val="pl-PL"/>
              </w:rPr>
              <w:t>HARQ</w:t>
            </w:r>
            <w:r>
              <w:rPr>
                <w:rFonts w:eastAsiaTheme="minorEastAsia"/>
                <w:lang w:val="pl-PL"/>
              </w:rPr>
              <w:t xml:space="preserve"> + T</w:t>
            </w:r>
            <w:r>
              <w:rPr>
                <w:rFonts w:eastAsiaTheme="minorEastAsia"/>
                <w:vertAlign w:val="subscript"/>
                <w:lang w:val="pl-PL"/>
              </w:rPr>
              <w:t>activation_time</w:t>
            </w:r>
            <w:r>
              <w:rPr>
                <w:rFonts w:eastAsiaTheme="minorEastAsia"/>
                <w:lang w:val="pl-PL"/>
              </w:rPr>
              <w:t xml:space="preserve"> +T</w:t>
            </w:r>
            <w:r>
              <w:rPr>
                <w:rFonts w:eastAsiaTheme="minorEastAsia"/>
                <w:vertAlign w:val="subscript"/>
                <w:lang w:val="pl-PL"/>
              </w:rPr>
              <w:t>CSI_Reporting</w:t>
            </w:r>
            <w:r>
              <w:rPr>
                <w:rFonts w:eastAsiaTheme="minorEastAsia"/>
                <w:lang w:val="pl-PL"/>
              </w:rPr>
              <w:t>) shall be considered which including the following factors:</w:t>
            </w:r>
          </w:p>
          <w:p>
            <w:pPr>
              <w:pStyle w:val="27"/>
              <w:numPr>
                <w:ilvl w:val="2"/>
                <w:numId w:val="7"/>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the delay uncertainty in acquiring the first available PRACH occasion in the PUCCH Scell(T</w:t>
            </w:r>
            <w:r>
              <w:rPr>
                <w:rFonts w:eastAsiaTheme="minorEastAsia"/>
                <w:vertAlign w:val="subscript"/>
                <w:lang w:val="pl-PL"/>
              </w:rPr>
              <w:t>1</w:t>
            </w:r>
            <w:r>
              <w:rPr>
                <w:rFonts w:eastAsiaTheme="minorEastAsia"/>
                <w:lang w:val="pl-PL"/>
              </w:rPr>
              <w:t>);</w:t>
            </w:r>
          </w:p>
          <w:p>
            <w:pPr>
              <w:pStyle w:val="27"/>
              <w:numPr>
                <w:ilvl w:val="2"/>
                <w:numId w:val="7"/>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the delay for obtaining a valid TA command for the sTAG to which the Scell configured with PUCCH belongs(T</w:t>
            </w:r>
            <w:r>
              <w:rPr>
                <w:rFonts w:eastAsiaTheme="minorEastAsia"/>
                <w:vertAlign w:val="subscript"/>
                <w:lang w:val="pl-PL"/>
              </w:rPr>
              <w:t>2</w:t>
            </w:r>
            <w:r>
              <w:rPr>
                <w:rFonts w:eastAsiaTheme="minorEastAsia"/>
                <w:lang w:val="pl-PL"/>
              </w:rPr>
              <w:t>);</w:t>
            </w:r>
          </w:p>
          <w:p>
            <w:pPr>
              <w:pStyle w:val="27"/>
              <w:numPr>
                <w:ilvl w:val="2"/>
                <w:numId w:val="7"/>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the delay for applying the received TA for uplink transmission(T</w:t>
            </w:r>
            <w:r>
              <w:rPr>
                <w:rFonts w:eastAsiaTheme="minorEastAsia"/>
                <w:vertAlign w:val="subscript"/>
                <w:lang w:val="pl-PL"/>
              </w:rPr>
              <w:t>3</w:t>
            </w:r>
            <w:r>
              <w:rPr>
                <w:rFonts w:eastAsiaTheme="minorEastAsia"/>
                <w:lang w:val="pl-PL"/>
              </w:rPr>
              <w:t>)</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Option 2a: (Qualcomm)</w:t>
            </w:r>
          </w:p>
          <w:p>
            <w:pPr>
              <w:pStyle w:val="27"/>
              <w:numPr>
                <w:ilvl w:val="1"/>
                <w:numId w:val="7"/>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FFS on CSI measurement in parallel with UL TA acquisition (T1-T3)</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3: (Nokia)</w:t>
            </w:r>
          </w:p>
          <w:p>
            <w:pPr>
              <w:pStyle w:val="27"/>
              <w:numPr>
                <w:ilvl w:val="1"/>
                <w:numId w:val="7"/>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The activation delay requirement for PUCCH Scell shall be defined assuming no dedicated time period for CSI measurements and reporting i.e. T</w:t>
            </w:r>
            <w:r>
              <w:rPr>
                <w:rFonts w:eastAsia="宋体"/>
                <w:szCs w:val="24"/>
                <w:vertAlign w:val="subscript"/>
                <w:lang w:eastAsia="zh-CN"/>
              </w:rPr>
              <w:t>CSI_reporting</w:t>
            </w:r>
            <w:r>
              <w:rPr>
                <w:rFonts w:eastAsia="宋体"/>
                <w:szCs w:val="24"/>
                <w:lang w:eastAsia="zh-CN"/>
              </w:rPr>
              <w:t xml:space="preserve"> is not needed in the activation delay.</w:t>
            </w:r>
            <w:r>
              <w:rPr>
                <w:rFonts w:hint="eastAsia" w:eastAsia="宋体"/>
                <w:szCs w:val="24"/>
                <w:lang w:eastAsia="zh-CN"/>
              </w:rPr>
              <w:t xml:space="preserve"> </w:t>
            </w:r>
          </w:p>
          <w:p>
            <w:pPr>
              <w:pStyle w:val="27"/>
              <w:numPr>
                <w:ilvl w:val="1"/>
                <w:numId w:val="7"/>
              </w:numPr>
              <w:overflowPunct/>
              <w:autoSpaceDE/>
              <w:autoSpaceDN/>
              <w:adjustRightInd/>
              <w:spacing w:after="120" w:line="259" w:lineRule="auto"/>
              <w:ind w:firstLineChars="0"/>
              <w:textAlignment w:val="auto"/>
              <w:rPr>
                <w:rFonts w:eastAsia="宋体"/>
                <w:szCs w:val="24"/>
                <w:lang w:eastAsia="zh-CN"/>
              </w:rPr>
            </w:pPr>
            <w:r>
              <w:rPr>
                <w:rFonts w:hint="eastAsia"/>
                <w:bCs/>
                <w:lang w:eastAsia="zh-CN"/>
              </w:rPr>
              <w:t>T</w:t>
            </w:r>
            <w:r>
              <w:rPr>
                <w:bCs/>
                <w:lang w:eastAsia="zh-CN"/>
              </w:rPr>
              <w:t xml:space="preserve">he UE shall be capable to perform downlink actions related to the Scell activation command for the Scell being activated on the PUCCH Scell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ctrlPr>
                        <w:rPr>
                          <w:rFonts w:ascii="Cambria Math" w:hAnsi="Cambria Math"/>
                          <w:bCs/>
                          <w:i/>
                          <w:sz w:val="24"/>
                          <w:szCs w:val="24"/>
                        </w:rPr>
                      </m:ctrlPr>
                    </m:e>
                    <m:sub>
                      <m:r>
                        <w:rPr>
                          <w:rFonts w:ascii="Cambria Math" w:hAnsi="Cambria Math"/>
                        </w:rPr>
                        <m:t>HARQ</m:t>
                      </m:r>
                      <m:ctrlPr>
                        <w:rPr>
                          <w:rFonts w:ascii="Cambria Math" w:hAnsi="Cambria Math"/>
                          <w:bCs/>
                          <w:i/>
                          <w:sz w:val="24"/>
                          <w:szCs w:val="24"/>
                        </w:rPr>
                      </m:ctrlPr>
                    </m:sub>
                  </m:sSub>
                  <m:r>
                    <w:rPr>
                      <w:rFonts w:ascii="Cambria Math" w:hAnsi="Cambria Math"/>
                    </w:rPr>
                    <m:t>+</m:t>
                  </m:r>
                  <m:sSub>
                    <m:sSubPr>
                      <m:ctrlPr>
                        <w:rPr>
                          <w:rFonts w:ascii="Cambria Math" w:hAnsi="Cambria Math"/>
                          <w:bCs/>
                          <w:i/>
                          <w:sz w:val="24"/>
                          <w:szCs w:val="24"/>
                        </w:rPr>
                      </m:ctrlPr>
                    </m:sSubPr>
                    <m:e>
                      <m:r>
                        <w:rPr>
                          <w:rFonts w:ascii="Cambria Math" w:hAnsi="Cambria Math"/>
                        </w:rPr>
                        <m:t>T</m:t>
                      </m:r>
                      <m:ctrlPr>
                        <w:rPr>
                          <w:rFonts w:ascii="Cambria Math" w:hAnsi="Cambria Math"/>
                          <w:bCs/>
                          <w:i/>
                          <w:sz w:val="24"/>
                          <w:szCs w:val="24"/>
                        </w:rPr>
                      </m:ctrlPr>
                    </m:e>
                    <m:sub>
                      <m:r>
                        <w:rPr>
                          <w:rFonts w:ascii="Cambria Math" w:hAnsi="Cambria Math"/>
                        </w:rPr>
                        <m:t>activation_time</m:t>
                      </m:r>
                      <m:ctrlPr>
                        <w:rPr>
                          <w:rFonts w:ascii="Cambria Math" w:hAnsi="Cambria Math"/>
                          <w:bCs/>
                          <w:i/>
                          <w:sz w:val="24"/>
                          <w:szCs w:val="24"/>
                        </w:rPr>
                      </m:ctrlPr>
                    </m:sub>
                  </m:sSub>
                  <m:ctrlPr>
                    <w:rPr>
                      <w:rFonts w:ascii="Cambria Math" w:hAnsi="Cambria Math"/>
                      <w:bCs/>
                      <w:sz w:val="24"/>
                      <w:szCs w:val="24"/>
                    </w:rPr>
                  </m:ctrlPr>
                </m:num>
                <m:den>
                  <m:r>
                    <w:rPr>
                      <w:rFonts w:ascii="Cambria Math" w:hAnsi="Cambria Math"/>
                    </w:rPr>
                    <m:t>NR slot length</m:t>
                  </m:r>
                  <m:ctrlPr>
                    <w:rPr>
                      <w:rFonts w:ascii="Cambria Math" w:hAnsi="Cambria Math"/>
                      <w:bCs/>
                      <w:sz w:val="24"/>
                      <w:szCs w:val="24"/>
                    </w:rPr>
                  </m:ctrlPr>
                </m:den>
              </m:f>
            </m:oMath>
            <w:r>
              <w:rPr>
                <w:bCs/>
                <w:sz w:val="24"/>
                <w:szCs w:val="24"/>
              </w:rPr>
              <w:t>.</w:t>
            </w:r>
          </w:p>
          <w:p>
            <w:pPr>
              <w:pStyle w:val="27"/>
              <w:numPr>
                <w:ilvl w:val="1"/>
                <w:numId w:val="7"/>
              </w:numPr>
              <w:overflowPunct/>
              <w:autoSpaceDE/>
              <w:autoSpaceDN/>
              <w:adjustRightInd/>
              <w:spacing w:after="120" w:line="259" w:lineRule="auto"/>
              <w:ind w:firstLineChars="0"/>
              <w:textAlignment w:val="auto"/>
            </w:pPr>
            <w:r>
              <w:rPr>
                <w:rFonts w:hint="eastAsia"/>
                <w:bCs/>
                <w:lang w:eastAsia="zh-CN"/>
              </w:rPr>
              <w:t>T</w:t>
            </w:r>
            <w:r>
              <w:rPr>
                <w:bCs/>
                <w:lang w:eastAsia="zh-CN"/>
              </w:rPr>
              <w:t>he UE shall be capable to perform uplink actions related to the Scell activation command for the Scell being activated on the PUCCH Scell no later than in slot</w:t>
            </w:r>
            <w:r>
              <w:rPr>
                <w:bCs/>
              </w:rPr>
              <w:t xml:space="preserve"> </w:t>
            </w:r>
            <m:oMath>
              <m:r>
                <m:rPr>
                  <m:sty m:val="p"/>
                </m:rPr>
                <w:rPr>
                  <w:rFonts w:ascii="Cambria Math" w:hAnsi="Cambria Math"/>
                </w:rPr>
                <m:t>n+</m:t>
              </m:r>
              <m:f>
                <m:fPr>
                  <m:ctrlPr>
                    <w:rPr>
                      <w:rFonts w:ascii="Cambria Math" w:hAnsi="Cambria Math"/>
                      <w:bCs/>
                      <w:sz w:val="24"/>
                      <w:szCs w:val="24"/>
                    </w:rPr>
                  </m:ctrlPr>
                </m:fPr>
                <m:num>
                  <m:sSub>
                    <m:sSubPr>
                      <m:ctrlPr>
                        <w:rPr>
                          <w:rFonts w:ascii="Cambria Math" w:hAnsi="Cambria Math"/>
                          <w:bCs/>
                          <w:i/>
                          <w:sz w:val="24"/>
                          <w:szCs w:val="24"/>
                        </w:rPr>
                      </m:ctrlPr>
                    </m:sSubPr>
                    <m:e>
                      <m:r>
                        <w:rPr>
                          <w:rFonts w:ascii="Cambria Math" w:hAnsi="Cambria Math"/>
                        </w:rPr>
                        <m:t>T</m:t>
                      </m:r>
                      <m:ctrlPr>
                        <w:rPr>
                          <w:rFonts w:ascii="Cambria Math" w:hAnsi="Cambria Math"/>
                          <w:bCs/>
                          <w:i/>
                          <w:sz w:val="24"/>
                          <w:szCs w:val="24"/>
                        </w:rPr>
                      </m:ctrlPr>
                    </m:e>
                    <m:sub>
                      <m:r>
                        <w:rPr>
                          <w:rFonts w:ascii="Cambria Math" w:hAnsi="Cambria Math"/>
                        </w:rPr>
                        <m:t>HARQ</m:t>
                      </m:r>
                      <m:ctrlPr>
                        <w:rPr>
                          <w:rFonts w:ascii="Cambria Math" w:hAnsi="Cambria Math"/>
                          <w:bCs/>
                          <w:i/>
                          <w:sz w:val="24"/>
                          <w:szCs w:val="24"/>
                        </w:rPr>
                      </m:ctrlPr>
                    </m:sub>
                  </m:sSub>
                  <m:r>
                    <w:rPr>
                      <w:rFonts w:ascii="Cambria Math" w:hAnsi="Cambria Math"/>
                    </w:rPr>
                    <m:t>+</m:t>
                  </m:r>
                  <m:sSub>
                    <m:sSubPr>
                      <m:ctrlPr>
                        <w:rPr>
                          <w:rFonts w:ascii="Cambria Math" w:hAnsi="Cambria Math"/>
                          <w:bCs/>
                          <w:i/>
                          <w:sz w:val="24"/>
                          <w:szCs w:val="24"/>
                        </w:rPr>
                      </m:ctrlPr>
                    </m:sSubPr>
                    <m:e>
                      <m:r>
                        <w:rPr>
                          <w:rFonts w:ascii="Cambria Math" w:hAnsi="Cambria Math"/>
                        </w:rPr>
                        <m:t>T</m:t>
                      </m:r>
                      <m:ctrlPr>
                        <w:rPr>
                          <w:rFonts w:ascii="Cambria Math" w:hAnsi="Cambria Math"/>
                          <w:bCs/>
                          <w:i/>
                          <w:sz w:val="24"/>
                          <w:szCs w:val="24"/>
                        </w:rPr>
                      </m:ctrlPr>
                    </m:e>
                    <m:sub>
                      <m:r>
                        <w:rPr>
                          <w:rFonts w:ascii="Cambria Math" w:hAnsi="Cambria Math"/>
                        </w:rPr>
                        <m:t>activation_time</m:t>
                      </m:r>
                      <m:ctrlPr>
                        <w:rPr>
                          <w:rFonts w:ascii="Cambria Math" w:hAnsi="Cambria Math"/>
                          <w:bCs/>
                          <w:i/>
                          <w:sz w:val="24"/>
                          <w:szCs w:val="24"/>
                        </w:rPr>
                      </m:ctrlPr>
                    </m:sub>
                  </m:sSub>
                  <m:r>
                    <w:rPr>
                      <w:rFonts w:ascii="Cambria Math" w:hAnsi="Cambria Math"/>
                    </w:rPr>
                    <m:t>+T1+T2+T3</m:t>
                  </m:r>
                  <m:ctrlPr>
                    <w:rPr>
                      <w:rFonts w:ascii="Cambria Math" w:hAnsi="Cambria Math"/>
                      <w:bCs/>
                      <w:sz w:val="24"/>
                      <w:szCs w:val="24"/>
                    </w:rPr>
                  </m:ctrlPr>
                </m:num>
                <m:den>
                  <m:r>
                    <w:rPr>
                      <w:rFonts w:ascii="Cambria Math" w:hAnsi="Cambria Math"/>
                    </w:rPr>
                    <m:t>NR slot length</m:t>
                  </m:r>
                  <m:ctrlPr>
                    <w:rPr>
                      <w:rFonts w:ascii="Cambria Math" w:hAnsi="Cambria Math"/>
                      <w:bCs/>
                      <w:sz w:val="24"/>
                      <w:szCs w:val="24"/>
                    </w:rPr>
                  </m:ctrlPr>
                </m:den>
              </m:f>
            </m:oMath>
            <w:r>
              <w:rPr>
                <w:rFonts w:hint="eastAsia"/>
                <w:bCs/>
                <w:sz w:val="24"/>
                <w:szCs w:val="24"/>
                <w:lang w:eastAsia="zh-CN"/>
              </w:rPr>
              <w:t xml:space="preserve">. </w:t>
            </w:r>
          </w:p>
        </w:tc>
      </w:tr>
    </w:tbl>
    <w:p>
      <w:pPr>
        <w:rPr>
          <w:rFonts w:hint="eastAsia" w:eastAsia="宋体"/>
          <w:color w:val="000000" w:themeColor="text1"/>
          <w:szCs w:val="18"/>
          <w:lang w:val="en-US" w:eastAsia="zh-CN"/>
          <w14:textFill>
            <w14:solidFill>
              <w14:schemeClr w14:val="tx1"/>
            </w14:solidFill>
          </w14:textFill>
        </w:rPr>
      </w:pPr>
    </w:p>
    <w:p>
      <w:pPr>
        <w:spacing w:before="0" w:after="120"/>
        <w:jc w:val="left"/>
        <w:rPr>
          <w:rFonts w:hint="eastAsia" w:eastAsiaTheme="minorEastAsia"/>
          <w:sz w:val="20"/>
          <w:szCs w:val="20"/>
          <w:vertAlign w:val="baseline"/>
          <w:lang w:val="en-US" w:eastAsia="zh-CN"/>
        </w:rPr>
      </w:pPr>
      <w:r>
        <w:rPr>
          <w:rFonts w:hint="eastAsia" w:eastAsia="宋体"/>
          <w:sz w:val="20"/>
          <w:lang w:val="en-US" w:eastAsia="zh-CN"/>
        </w:rPr>
        <w:t xml:space="preserve">There are three options on the table after last round discussion in 101-e meeting. For the invalid TA case, additional time to obtain valid TA is needed, which is </w:t>
      </w:r>
      <w:r>
        <w:rPr>
          <w:rFonts w:eastAsiaTheme="minorEastAsia"/>
          <w:sz w:val="20"/>
          <w:szCs w:val="20"/>
          <w:lang w:val="pl-PL"/>
        </w:rPr>
        <w:t>T</w:t>
      </w:r>
      <w:r>
        <w:rPr>
          <w:rFonts w:eastAsiaTheme="minorEastAsia"/>
          <w:sz w:val="20"/>
          <w:szCs w:val="20"/>
          <w:vertAlign w:val="subscript"/>
          <w:lang w:val="pl-PL"/>
        </w:rPr>
        <w:t>1</w:t>
      </w:r>
      <w:r>
        <w:rPr>
          <w:rFonts w:hint="eastAsia" w:eastAsiaTheme="minorEastAsia"/>
          <w:sz w:val="20"/>
          <w:szCs w:val="20"/>
          <w:vertAlign w:val="subscript"/>
          <w:lang w:val="pl-PL"/>
        </w:rPr>
        <w:t xml:space="preserve"> + </w:t>
      </w:r>
      <w:r>
        <w:rPr>
          <w:rFonts w:eastAsiaTheme="minorEastAsia"/>
          <w:sz w:val="20"/>
          <w:szCs w:val="20"/>
          <w:lang w:val="pl-PL"/>
        </w:rPr>
        <w:t>T</w:t>
      </w:r>
      <w:r>
        <w:rPr>
          <w:rFonts w:hint="eastAsia" w:eastAsiaTheme="minorEastAsia"/>
          <w:sz w:val="20"/>
          <w:szCs w:val="20"/>
          <w:vertAlign w:val="subscript"/>
          <w:lang w:val="pl-PL"/>
        </w:rPr>
        <w:t xml:space="preserve">2 </w:t>
      </w:r>
      <w:r>
        <w:rPr>
          <w:rFonts w:hint="eastAsia" w:eastAsiaTheme="minorEastAsia"/>
          <w:sz w:val="20"/>
          <w:szCs w:val="20"/>
          <w:lang w:val="pl-PL"/>
        </w:rPr>
        <w:t>+</w:t>
      </w:r>
      <w:r>
        <w:rPr>
          <w:rFonts w:eastAsiaTheme="minorEastAsia"/>
          <w:sz w:val="20"/>
          <w:szCs w:val="20"/>
          <w:lang w:val="pl-PL"/>
        </w:rPr>
        <w:t xml:space="preserve"> T</w:t>
      </w:r>
      <w:r>
        <w:rPr>
          <w:rFonts w:hint="eastAsia" w:eastAsiaTheme="minorEastAsia"/>
          <w:sz w:val="20"/>
          <w:szCs w:val="20"/>
          <w:vertAlign w:val="subscript"/>
          <w:lang w:val="pl-PL"/>
        </w:rPr>
        <w:t>3</w:t>
      </w:r>
      <w:r>
        <w:rPr>
          <w:rFonts w:hint="eastAsia" w:eastAsiaTheme="minorEastAsia"/>
          <w:sz w:val="20"/>
          <w:szCs w:val="20"/>
          <w:vertAlign w:val="subscript"/>
          <w:lang w:val="en-US" w:eastAsia="zh-CN"/>
        </w:rPr>
        <w:t xml:space="preserve"> </w:t>
      </w:r>
      <w:r>
        <w:rPr>
          <w:rFonts w:hint="eastAsia" w:eastAsiaTheme="minorEastAsia"/>
          <w:sz w:val="20"/>
          <w:szCs w:val="20"/>
          <w:vertAlign w:val="baseline"/>
          <w:lang w:val="en-US" w:eastAsia="zh-CN"/>
        </w:rPr>
        <w:t xml:space="preserve"> as suggested in option 2.</w:t>
      </w:r>
    </w:p>
    <w:p>
      <w:pPr>
        <w:spacing w:before="0" w:after="120"/>
        <w:jc w:val="left"/>
        <w:rPr>
          <w:rFonts w:hint="default" w:eastAsia="宋体"/>
          <w:sz w:val="20"/>
          <w:lang w:val="en-US" w:eastAsia="zh-CN"/>
        </w:rPr>
      </w:pPr>
      <w:r>
        <w:rPr>
          <w:rFonts w:hint="eastAsia" w:eastAsia="宋体"/>
          <w:sz w:val="20"/>
          <w:lang w:val="en-US" w:eastAsia="zh-CN"/>
        </w:rPr>
        <w:t>Option 1 introduces T</w:t>
      </w:r>
      <w:r>
        <w:rPr>
          <w:rFonts w:hint="eastAsia" w:eastAsia="宋体"/>
          <w:sz w:val="20"/>
          <w:vertAlign w:val="subscript"/>
          <w:lang w:val="en-US" w:eastAsia="zh-CN"/>
        </w:rPr>
        <w:t>PDCCH</w:t>
      </w:r>
      <w:r>
        <w:rPr>
          <w:rFonts w:hint="eastAsia" w:eastAsia="宋体"/>
          <w:sz w:val="20"/>
          <w:lang w:val="en-US" w:eastAsia="zh-CN"/>
        </w:rPr>
        <w:t xml:space="preserve">, which </w:t>
      </w:r>
      <w:r>
        <w:rPr>
          <w:rFonts w:hint="eastAsia" w:eastAsia="宋体"/>
          <w:sz w:val="20"/>
          <w:lang w:val="pl-PL" w:eastAsia="zh-CN"/>
        </w:rPr>
        <w:t>is time from the end of basic SCell activation to the start of PDCCH signal receiving for PRACH transmission</w:t>
      </w:r>
      <w:r>
        <w:rPr>
          <w:rFonts w:hint="eastAsia" w:eastAsia="宋体"/>
          <w:sz w:val="20"/>
          <w:lang w:val="en-US" w:eastAsia="zh-CN"/>
        </w:rPr>
        <w:t xml:space="preserve"> as explained in the related proposals. In our view, this delay could be included in the delay uncertainty for obtaining the first available PRACH occasion. </w:t>
      </w:r>
    </w:p>
    <w:p>
      <w:pPr>
        <w:jc w:val="both"/>
        <w:rPr>
          <w:rFonts w:hint="eastAsia"/>
          <w:b/>
          <w:bCs/>
          <w:sz w:val="21"/>
          <w:lang w:val="en-US" w:eastAsia="zh-CN"/>
        </w:rPr>
      </w:pPr>
      <w:r>
        <w:rPr>
          <w:b/>
          <w:bCs/>
          <w:sz w:val="21"/>
          <w:lang w:eastAsia="zh-CN"/>
        </w:rPr>
        <w:t xml:space="preserve">Proposal </w:t>
      </w:r>
      <w:r>
        <w:rPr>
          <w:rFonts w:hint="eastAsia"/>
          <w:b/>
          <w:bCs/>
          <w:sz w:val="21"/>
          <w:lang w:val="en-US" w:eastAsia="zh-CN"/>
        </w:rPr>
        <w:t>1</w:t>
      </w:r>
      <w:r>
        <w:rPr>
          <w:b/>
          <w:bCs/>
          <w:sz w:val="21"/>
          <w:lang w:eastAsia="zh-CN"/>
        </w:rPr>
        <w:t>:</w:t>
      </w:r>
      <w:r>
        <w:rPr>
          <w:rFonts w:hint="eastAsia"/>
          <w:b/>
          <w:bCs/>
          <w:sz w:val="21"/>
          <w:lang w:val="en-US" w:eastAsia="zh-CN"/>
        </w:rPr>
        <w:t xml:space="preserve"> Take option 2 in WF[1]. </w:t>
      </w:r>
    </w:p>
    <w:p>
      <w:pPr>
        <w:pStyle w:val="27"/>
        <w:numPr>
          <w:ilvl w:val="0"/>
          <w:numId w:val="0"/>
        </w:numPr>
        <w:overflowPunct/>
        <w:autoSpaceDE/>
        <w:autoSpaceDN/>
        <w:adjustRightInd/>
        <w:spacing w:after="120" w:line="259" w:lineRule="auto"/>
        <w:ind w:left="720" w:leftChars="0"/>
        <w:textAlignment w:val="auto"/>
        <w:rPr>
          <w:rFonts w:eastAsiaTheme="minorEastAsia"/>
          <w:b/>
          <w:bCs/>
          <w:lang w:val="pl-PL"/>
        </w:rPr>
      </w:pPr>
      <w:r>
        <w:rPr>
          <w:rFonts w:eastAsiaTheme="minorEastAsia"/>
          <w:b/>
          <w:bCs/>
          <w:lang w:val="pl-PL"/>
        </w:rPr>
        <w:t>If UE does not have the valid TA on the PUCCH Scell being activated, an additional UL synchronization procedure to obtain the valid TA comparing to ( T</w:t>
      </w:r>
      <w:r>
        <w:rPr>
          <w:rFonts w:eastAsiaTheme="minorEastAsia"/>
          <w:b/>
          <w:bCs/>
          <w:vertAlign w:val="subscript"/>
          <w:lang w:val="pl-PL"/>
        </w:rPr>
        <w:t>HARQ</w:t>
      </w:r>
      <w:r>
        <w:rPr>
          <w:rFonts w:eastAsiaTheme="minorEastAsia"/>
          <w:b/>
          <w:bCs/>
          <w:lang w:val="pl-PL"/>
        </w:rPr>
        <w:t xml:space="preserve"> + T</w:t>
      </w:r>
      <w:r>
        <w:rPr>
          <w:rFonts w:eastAsiaTheme="minorEastAsia"/>
          <w:b/>
          <w:bCs/>
          <w:vertAlign w:val="subscript"/>
          <w:lang w:val="pl-PL"/>
        </w:rPr>
        <w:t>activation_time</w:t>
      </w:r>
      <w:r>
        <w:rPr>
          <w:rFonts w:eastAsiaTheme="minorEastAsia"/>
          <w:b/>
          <w:bCs/>
          <w:lang w:val="pl-PL"/>
        </w:rPr>
        <w:t xml:space="preserve"> +T</w:t>
      </w:r>
      <w:r>
        <w:rPr>
          <w:rFonts w:eastAsiaTheme="minorEastAsia"/>
          <w:b/>
          <w:bCs/>
          <w:vertAlign w:val="subscript"/>
          <w:lang w:val="pl-PL"/>
        </w:rPr>
        <w:t>CSI_Reporting</w:t>
      </w:r>
      <w:r>
        <w:rPr>
          <w:rFonts w:eastAsiaTheme="minorEastAsia"/>
          <w:b/>
          <w:bCs/>
          <w:lang w:val="pl-PL"/>
        </w:rPr>
        <w:t>) shall be considered which including the following factors:</w:t>
      </w:r>
    </w:p>
    <w:p>
      <w:pPr>
        <w:pStyle w:val="27"/>
        <w:numPr>
          <w:ilvl w:val="2"/>
          <w:numId w:val="7"/>
        </w:numPr>
        <w:overflowPunct/>
        <w:autoSpaceDE/>
        <w:autoSpaceDN/>
        <w:adjustRightInd/>
        <w:spacing w:after="120" w:line="259" w:lineRule="auto"/>
        <w:ind w:firstLineChars="0"/>
        <w:textAlignment w:val="auto"/>
        <w:rPr>
          <w:rFonts w:eastAsiaTheme="minorEastAsia"/>
          <w:b/>
          <w:bCs/>
          <w:lang w:val="pl-PL"/>
        </w:rPr>
      </w:pPr>
      <w:r>
        <w:rPr>
          <w:rFonts w:eastAsiaTheme="minorEastAsia"/>
          <w:b/>
          <w:bCs/>
          <w:lang w:val="pl-PL"/>
        </w:rPr>
        <w:t>the delay uncertainty in acquiring the first available PRACH occasion in the PUCCH Scell(T</w:t>
      </w:r>
      <w:r>
        <w:rPr>
          <w:rFonts w:eastAsiaTheme="minorEastAsia"/>
          <w:b/>
          <w:bCs/>
          <w:vertAlign w:val="subscript"/>
          <w:lang w:val="pl-PL"/>
        </w:rPr>
        <w:t>1</w:t>
      </w:r>
      <w:r>
        <w:rPr>
          <w:rFonts w:eastAsiaTheme="minorEastAsia"/>
          <w:b/>
          <w:bCs/>
          <w:lang w:val="pl-PL"/>
        </w:rPr>
        <w:t>);</w:t>
      </w:r>
    </w:p>
    <w:p>
      <w:pPr>
        <w:pStyle w:val="27"/>
        <w:numPr>
          <w:ilvl w:val="2"/>
          <w:numId w:val="7"/>
        </w:numPr>
        <w:overflowPunct/>
        <w:autoSpaceDE/>
        <w:autoSpaceDN/>
        <w:adjustRightInd/>
        <w:spacing w:after="120" w:line="259" w:lineRule="auto"/>
        <w:ind w:firstLineChars="0"/>
        <w:textAlignment w:val="auto"/>
        <w:rPr>
          <w:rFonts w:eastAsiaTheme="minorEastAsia"/>
          <w:b/>
          <w:bCs/>
          <w:lang w:val="pl-PL"/>
        </w:rPr>
      </w:pPr>
      <w:r>
        <w:rPr>
          <w:rFonts w:eastAsiaTheme="minorEastAsia"/>
          <w:b/>
          <w:bCs/>
          <w:lang w:val="pl-PL"/>
        </w:rPr>
        <w:t>the delay for obtaining a valid TA command for the sTAG to which the Scell configured with PUCCH belongs(T</w:t>
      </w:r>
      <w:r>
        <w:rPr>
          <w:rFonts w:eastAsiaTheme="minorEastAsia"/>
          <w:b/>
          <w:bCs/>
          <w:vertAlign w:val="subscript"/>
          <w:lang w:val="pl-PL"/>
        </w:rPr>
        <w:t>2</w:t>
      </w:r>
      <w:r>
        <w:rPr>
          <w:rFonts w:eastAsiaTheme="minorEastAsia"/>
          <w:b/>
          <w:bCs/>
          <w:lang w:val="pl-PL"/>
        </w:rPr>
        <w:t>);</w:t>
      </w:r>
    </w:p>
    <w:p>
      <w:pPr>
        <w:pStyle w:val="27"/>
        <w:numPr>
          <w:ilvl w:val="2"/>
          <w:numId w:val="7"/>
        </w:numPr>
        <w:overflowPunct/>
        <w:autoSpaceDE/>
        <w:autoSpaceDN/>
        <w:adjustRightInd/>
        <w:spacing w:after="120" w:line="259" w:lineRule="auto"/>
        <w:ind w:firstLineChars="0"/>
        <w:textAlignment w:val="auto"/>
        <w:rPr>
          <w:rFonts w:eastAsiaTheme="minorEastAsia"/>
          <w:b/>
          <w:bCs/>
          <w:lang w:val="pl-PL"/>
        </w:rPr>
      </w:pPr>
      <w:r>
        <w:rPr>
          <w:rFonts w:eastAsiaTheme="minorEastAsia"/>
          <w:b/>
          <w:bCs/>
          <w:lang w:val="pl-PL"/>
        </w:rPr>
        <w:t>the delay for applying the received TA for uplink transmission(T</w:t>
      </w:r>
      <w:r>
        <w:rPr>
          <w:rFonts w:eastAsiaTheme="minorEastAsia"/>
          <w:b/>
          <w:bCs/>
          <w:vertAlign w:val="subscript"/>
          <w:lang w:val="pl-PL"/>
        </w:rPr>
        <w:t>3</w:t>
      </w:r>
      <w:r>
        <w:rPr>
          <w:rFonts w:eastAsiaTheme="minorEastAsia"/>
          <w:b/>
          <w:bCs/>
          <w:lang w:val="pl-PL"/>
        </w:rPr>
        <w:t>)</w:t>
      </w:r>
    </w:p>
    <w:p>
      <w:pPr>
        <w:jc w:val="both"/>
        <w:rPr>
          <w:rFonts w:hint="default"/>
          <w:b/>
          <w:bCs/>
          <w:sz w:val="21"/>
          <w:lang w:val="en-US" w:eastAsia="zh-CN"/>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pStyle w:val="4"/>
              <w:pBdr>
                <w:top w:val="none" w:color="auto" w:sz="0" w:space="0"/>
              </w:pBdr>
              <w:spacing w:before="120" w:after="180" w:line="240" w:lineRule="auto"/>
              <w:rPr>
                <w:rFonts w:hint="eastAsia" w:ascii="Arial" w:hAnsi="Arial" w:cs="Times New Roman"/>
                <w:b/>
                <w:color w:val="000000" w:themeColor="text1"/>
                <w:sz w:val="21"/>
                <w:szCs w:val="18"/>
                <w:u w:val="single"/>
                <w:lang w:val="sv-SE" w:eastAsia="zh-CN" w:bidi="ar-SA"/>
                <w14:textFill>
                  <w14:solidFill>
                    <w14:schemeClr w14:val="tx1"/>
                  </w14:solidFill>
                </w14:textFill>
              </w:rPr>
            </w:pPr>
            <w:r>
              <w:rPr>
                <w:rFonts w:hint="eastAsia" w:ascii="Arial" w:hAnsi="Arial" w:cs="Times New Roman"/>
                <w:b/>
                <w:color w:val="000000" w:themeColor="text1"/>
                <w:sz w:val="21"/>
                <w:szCs w:val="18"/>
                <w:u w:val="single"/>
                <w:lang w:val="sv-SE" w:eastAsia="zh-CN" w:bidi="ar-SA"/>
                <w14:textFill>
                  <w14:solidFill>
                    <w14:schemeClr w14:val="tx1"/>
                  </w14:solidFill>
                </w14:textFill>
              </w:rPr>
              <w:t xml:space="preserve">Issue 1-4-1a: Whether </w:t>
            </w:r>
            <w:r>
              <w:rPr>
                <w:rFonts w:hint="eastAsia" w:ascii="Arial" w:hAnsi="Arial" w:cs="Times New Roman"/>
                <w:b/>
                <w:color w:val="000000" w:themeColor="text1"/>
                <w:sz w:val="21"/>
                <w:szCs w:val="18"/>
                <w:u w:val="single"/>
                <w:lang w:val="pl-PL" w:eastAsia="zh-CN" w:bidi="ar-SA"/>
                <w14:textFill>
                  <w14:solidFill>
                    <w14:schemeClr w14:val="tx1"/>
                  </w14:solidFill>
                </w14:textFill>
              </w:rPr>
              <w:t>T</w:t>
            </w:r>
            <w:r>
              <w:rPr>
                <w:rFonts w:hint="eastAsia" w:ascii="Arial" w:hAnsi="Arial" w:cs="Times New Roman"/>
                <w:b/>
                <w:color w:val="000000" w:themeColor="text1"/>
                <w:sz w:val="21"/>
                <w:szCs w:val="18"/>
                <w:u w:val="single"/>
                <w:vertAlign w:val="subscript"/>
                <w:lang w:val="pl-PL" w:eastAsia="zh-CN" w:bidi="ar-SA"/>
                <w14:textFill>
                  <w14:solidFill>
                    <w14:schemeClr w14:val="tx1"/>
                  </w14:solidFill>
                </w14:textFill>
              </w:rPr>
              <w:t>PDCCH</w:t>
            </w:r>
            <w:r>
              <w:rPr>
                <w:rFonts w:hint="eastAsia" w:ascii="Arial" w:hAnsi="Arial" w:cs="Times New Roman"/>
                <w:b/>
                <w:color w:val="000000" w:themeColor="text1"/>
                <w:sz w:val="21"/>
                <w:szCs w:val="18"/>
                <w:u w:val="single"/>
                <w:lang w:val="pl-PL" w:eastAsia="zh-CN" w:bidi="ar-SA"/>
                <w14:textFill>
                  <w14:solidFill>
                    <w14:schemeClr w14:val="tx1"/>
                  </w14:solidFill>
                </w14:textFill>
              </w:rPr>
              <w:t xml:space="preserve"> is needed in </w:t>
            </w:r>
            <w:r>
              <w:rPr>
                <w:rFonts w:hint="eastAsia" w:ascii="Arial" w:hAnsi="Arial" w:cs="Times New Roman"/>
                <w:b/>
                <w:color w:val="000000" w:themeColor="text1"/>
                <w:sz w:val="21"/>
                <w:szCs w:val="18"/>
                <w:u w:val="single"/>
                <w:lang w:val="sv-SE" w:eastAsia="zh-CN" w:bidi="ar-SA"/>
                <w14:textFill>
                  <w14:solidFill>
                    <w14:schemeClr w14:val="tx1"/>
                  </w14:solidFill>
                </w14:textFill>
              </w:rPr>
              <w:t>the PUCCH SCell activation requirements for invalid TA case</w:t>
            </w:r>
          </w:p>
          <w:p>
            <w:pPr>
              <w:rPr>
                <w:i/>
                <w:lang w:val="sv-SE" w:eastAsia="zh-CN"/>
              </w:rPr>
            </w:pPr>
            <w:r>
              <w:rPr>
                <w:i/>
                <w:lang w:val="sv-SE" w:eastAsia="zh-CN"/>
              </w:rPr>
              <w:t>O</w:t>
            </w:r>
            <w:r>
              <w:rPr>
                <w:rFonts w:hint="eastAsia"/>
                <w:i/>
                <w:lang w:val="sv-SE" w:eastAsia="zh-CN"/>
              </w:rPr>
              <w:t xml:space="preserve">pen issue: </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(CATT)</w:t>
            </w:r>
          </w:p>
          <w:p>
            <w:pPr>
              <w:pStyle w:val="27"/>
              <w:numPr>
                <w:ilvl w:val="1"/>
                <w:numId w:val="7"/>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Yes</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（Xiaomi, MTK, NTT DOCOMO）</w:t>
            </w:r>
          </w:p>
          <w:p>
            <w:pPr>
              <w:pStyle w:val="27"/>
              <w:numPr>
                <w:ilvl w:val="1"/>
                <w:numId w:val="7"/>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No</w:t>
            </w:r>
          </w:p>
          <w:p>
            <w:pPr>
              <w:pStyle w:val="27"/>
              <w:numPr>
                <w:ilvl w:val="0"/>
                <w:numId w:val="7"/>
              </w:numPr>
              <w:overflowPunct/>
              <w:autoSpaceDE/>
              <w:autoSpaceDN/>
              <w:adjustRightInd/>
              <w:spacing w:after="120" w:line="259" w:lineRule="auto"/>
              <w:ind w:left="720" w:firstLineChars="0"/>
              <w:textAlignment w:val="auto"/>
              <w:rPr>
                <w:szCs w:val="24"/>
                <w:lang w:eastAsia="zh-CN"/>
              </w:rPr>
            </w:pPr>
            <w:r>
              <w:rPr>
                <w:szCs w:val="24"/>
                <w:lang w:eastAsia="zh-CN"/>
              </w:rPr>
              <w:t xml:space="preserve">Option 3: This issue needs to be clarified before any further discussion. </w:t>
            </w:r>
          </w:p>
          <w:p>
            <w:pPr>
              <w:spacing w:after="120" w:line="259" w:lineRule="auto"/>
              <w:rPr>
                <w:szCs w:val="24"/>
                <w:lang w:eastAsia="zh-CN"/>
              </w:rPr>
            </w:pPr>
          </w:p>
          <w:p>
            <w:pPr>
              <w:pStyle w:val="4"/>
              <w:pBdr>
                <w:top w:val="none" w:color="auto" w:sz="0" w:space="0"/>
              </w:pBdr>
              <w:spacing w:before="120" w:after="180" w:line="240" w:lineRule="auto"/>
              <w:rPr>
                <w:rFonts w:hint="eastAsia" w:ascii="Arial" w:hAnsi="Arial" w:cs="Times New Roman"/>
                <w:b/>
                <w:color w:val="000000" w:themeColor="text1"/>
                <w:sz w:val="21"/>
                <w:szCs w:val="18"/>
                <w:u w:val="single"/>
                <w:lang w:val="sv-SE" w:eastAsia="zh-CN" w:bidi="ar-SA"/>
                <w14:textFill>
                  <w14:solidFill>
                    <w14:schemeClr w14:val="tx1"/>
                  </w14:solidFill>
                </w14:textFill>
              </w:rPr>
            </w:pPr>
            <w:r>
              <w:rPr>
                <w:rFonts w:hint="eastAsia" w:ascii="Arial" w:hAnsi="Arial" w:cs="Times New Roman"/>
                <w:b/>
                <w:color w:val="000000" w:themeColor="text1"/>
                <w:sz w:val="21"/>
                <w:szCs w:val="18"/>
                <w:u w:val="single"/>
                <w:lang w:val="sv-SE" w:eastAsia="zh-CN" w:bidi="ar-SA"/>
                <w14:textFill>
                  <w14:solidFill>
                    <w14:schemeClr w14:val="tx1"/>
                  </w14:solidFill>
                </w14:textFill>
              </w:rPr>
              <w:t>Issue 1-4-1b: Whether TCSI_reporting</w:t>
            </w:r>
            <w:r>
              <w:rPr>
                <w:rFonts w:hint="eastAsia" w:ascii="Arial" w:hAnsi="Arial" w:cs="Times New Roman"/>
                <w:b/>
                <w:color w:val="000000" w:themeColor="text1"/>
                <w:sz w:val="21"/>
                <w:szCs w:val="18"/>
                <w:u w:val="single"/>
                <w:lang w:val="pl-PL" w:eastAsia="zh-CN" w:bidi="ar-SA"/>
                <w14:textFill>
                  <w14:solidFill>
                    <w14:schemeClr w14:val="tx1"/>
                  </w14:solidFill>
                </w14:textFill>
              </w:rPr>
              <w:t xml:space="preserve"> is needed</w:t>
            </w:r>
            <w:r>
              <w:rPr>
                <w:rFonts w:hint="eastAsia" w:ascii="Arial" w:hAnsi="Arial" w:cs="Times New Roman"/>
                <w:b/>
                <w:color w:val="000000" w:themeColor="text1"/>
                <w:sz w:val="21"/>
                <w:szCs w:val="18"/>
                <w:u w:val="single"/>
                <w:lang w:val="sv-SE" w:eastAsia="zh-CN" w:bidi="ar-SA"/>
                <w14:textFill>
                  <w14:solidFill>
                    <w14:schemeClr w14:val="tx1"/>
                  </w14:solidFill>
                </w14:textFill>
              </w:rPr>
              <w:t xml:space="preserve"> in the PUCCH SCell activation requirements for invalid TA case. </w:t>
            </w:r>
          </w:p>
          <w:p>
            <w:pPr>
              <w:rPr>
                <w:i/>
                <w:lang w:val="sv-SE" w:eastAsia="zh-CN"/>
              </w:rPr>
            </w:pPr>
            <w:r>
              <w:rPr>
                <w:i/>
                <w:lang w:val="sv-SE" w:eastAsia="zh-CN"/>
              </w:rPr>
              <w:t>O</w:t>
            </w:r>
            <w:r>
              <w:rPr>
                <w:rFonts w:hint="eastAsia"/>
                <w:i/>
                <w:lang w:val="sv-SE" w:eastAsia="zh-CN"/>
              </w:rPr>
              <w:t xml:space="preserve">pen issue: </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1: (Xiaomi, Apple, ZTE, CATT, CMCC, Intel, Ericsson, MTK, NTT DOCOMO)</w:t>
            </w:r>
          </w:p>
          <w:p>
            <w:pPr>
              <w:pStyle w:val="27"/>
              <w:numPr>
                <w:ilvl w:val="1"/>
                <w:numId w:val="7"/>
              </w:numPr>
              <w:overflowPunct/>
              <w:autoSpaceDE/>
              <w:autoSpaceDN/>
              <w:adjustRightInd/>
              <w:spacing w:after="120" w:line="259" w:lineRule="auto"/>
              <w:ind w:firstLineChars="0"/>
              <w:textAlignment w:val="auto"/>
              <w:rPr>
                <w:rFonts w:eastAsia="宋体"/>
                <w:szCs w:val="24"/>
                <w:lang w:eastAsia="zh-CN"/>
              </w:rPr>
            </w:pPr>
            <w:r>
              <w:rPr>
                <w:rFonts w:hint="eastAsia" w:eastAsia="宋体"/>
                <w:szCs w:val="24"/>
                <w:lang w:eastAsia="zh-CN"/>
              </w:rPr>
              <w:t>Yes</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(Nokia)</w:t>
            </w:r>
          </w:p>
          <w:p>
            <w:pPr>
              <w:pStyle w:val="27"/>
              <w:numPr>
                <w:ilvl w:val="1"/>
                <w:numId w:val="7"/>
              </w:numPr>
              <w:overflowPunct/>
              <w:autoSpaceDE/>
              <w:autoSpaceDN/>
              <w:adjustRightInd/>
              <w:spacing w:after="120" w:line="259" w:lineRule="auto"/>
              <w:ind w:firstLineChars="0"/>
              <w:textAlignment w:val="auto"/>
              <w:rPr>
                <w:rFonts w:eastAsia="宋体"/>
                <w:szCs w:val="24"/>
                <w:lang w:eastAsia="zh-CN"/>
              </w:rPr>
            </w:pPr>
            <w:r>
              <w:rPr>
                <w:bCs/>
                <w:lang w:eastAsia="zh-CN"/>
              </w:rPr>
              <w:t>For a UE without a valid TA, the activation delay requirement for PUCCH SCell shall be defined assuming no dedicated time period for CSI measurements and reporting i.e. T</w:t>
            </w:r>
            <w:r>
              <w:rPr>
                <w:bCs/>
                <w:vertAlign w:val="subscript"/>
                <w:lang w:eastAsia="zh-CN"/>
              </w:rPr>
              <w:t xml:space="preserve">CSI_reporting </w:t>
            </w:r>
            <w:r>
              <w:rPr>
                <w:bCs/>
                <w:lang w:eastAsia="zh-CN"/>
              </w:rPr>
              <w:t>is not needed in the activation delay.</w:t>
            </w:r>
          </w:p>
          <w:p>
            <w:pPr>
              <w:numPr>
                <w:ilvl w:val="0"/>
                <w:numId w:val="0"/>
              </w:numPr>
              <w:spacing w:after="120" w:line="259" w:lineRule="auto"/>
              <w:ind w:left="1440" w:leftChars="0"/>
              <w:jc w:val="both"/>
            </w:pPr>
          </w:p>
        </w:tc>
      </w:tr>
    </w:tbl>
    <w:p>
      <w:pPr>
        <w:rPr>
          <w:rFonts w:hint="default" w:eastAsia="宋体"/>
          <w:b/>
          <w:bCs/>
          <w:color w:val="000000" w:themeColor="text1"/>
          <w:szCs w:val="18"/>
          <w:lang w:val="en-US" w:eastAsia="zh-CN"/>
          <w14:textFill>
            <w14:solidFill>
              <w14:schemeClr w14:val="tx1"/>
            </w14:solidFill>
          </w14:textFill>
        </w:rPr>
      </w:pPr>
    </w:p>
    <w:p>
      <w:pPr>
        <w:spacing w:before="0" w:after="120"/>
        <w:jc w:val="left"/>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 xml:space="preserve">Issue </w:t>
      </w:r>
      <w:r>
        <w:rPr>
          <w:rFonts w:hint="eastAsia" w:eastAsia="宋体"/>
          <w:sz w:val="20"/>
          <w:lang w:val="sv-SE" w:eastAsia="zh-CN"/>
        </w:rPr>
        <w:t>1-4-1</w:t>
      </w:r>
      <w:r>
        <w:rPr>
          <w:rFonts w:hint="eastAsia" w:eastAsia="宋体"/>
          <w:sz w:val="20"/>
          <w:lang w:val="en-US" w:eastAsia="zh-CN"/>
        </w:rPr>
        <w:t xml:space="preserve"> </w:t>
      </w:r>
      <w:r>
        <w:rPr>
          <w:rFonts w:hint="eastAsia"/>
          <w:b w:val="0"/>
          <w:bCs w:val="0"/>
          <w:color w:val="000000" w:themeColor="text1"/>
          <w:lang w:val="en-US" w:eastAsia="zh-CN"/>
          <w14:textFill>
            <w14:solidFill>
              <w14:schemeClr w14:val="tx1"/>
            </w14:solidFill>
          </w14:textFill>
        </w:rPr>
        <w:t xml:space="preserve">also relates to the two issues above. </w:t>
      </w:r>
    </w:p>
    <w:p>
      <w:pPr>
        <w:spacing w:before="0" w:after="120"/>
        <w:jc w:val="left"/>
        <w:rPr>
          <w:rFonts w:hint="eastAsia" w:eastAsia="宋体"/>
          <w:sz w:val="20"/>
          <w:lang w:val="en-US" w:eastAsia="zh-CN"/>
        </w:rPr>
      </w:pPr>
      <w:r>
        <w:rPr>
          <w:rFonts w:hint="eastAsia" w:eastAsia="宋体"/>
          <w:sz w:val="20"/>
          <w:lang w:val="en-US" w:eastAsia="zh-CN"/>
        </w:rPr>
        <w:t xml:space="preserve">For </w:t>
      </w:r>
      <w:r>
        <w:rPr>
          <w:rFonts w:hint="eastAsia" w:eastAsia="宋体"/>
          <w:sz w:val="20"/>
          <w:lang w:val="sv-SE" w:eastAsia="zh-CN"/>
        </w:rPr>
        <w:t>Issue 1-4-1a</w:t>
      </w:r>
      <w:r>
        <w:rPr>
          <w:rFonts w:hint="eastAsia" w:eastAsia="宋体"/>
          <w:sz w:val="20"/>
          <w:lang w:val="en-US" w:eastAsia="zh-CN"/>
        </w:rPr>
        <w:t>,  it is the difference between option 1 and other options. We think T</w:t>
      </w:r>
      <w:r>
        <w:rPr>
          <w:rFonts w:hint="eastAsia" w:eastAsia="宋体"/>
          <w:sz w:val="20"/>
          <w:vertAlign w:val="subscript"/>
          <w:lang w:val="en-US" w:eastAsia="zh-CN"/>
        </w:rPr>
        <w:t>PDCCH</w:t>
      </w:r>
      <w:r>
        <w:rPr>
          <w:rFonts w:hint="eastAsia" w:eastAsia="宋体"/>
          <w:sz w:val="20"/>
          <w:lang w:val="en-US" w:eastAsia="zh-CN"/>
        </w:rPr>
        <w:t xml:space="preserve"> could be included in the delay uncertainty for obtaining the first available PRACH occasion. </w:t>
      </w:r>
    </w:p>
    <w:p>
      <w:pPr>
        <w:spacing w:before="0" w:after="120"/>
        <w:jc w:val="left"/>
        <w:rPr>
          <w:rFonts w:hint="eastAsia" w:eastAsiaTheme="minorEastAsia"/>
          <w:sz w:val="21"/>
          <w:szCs w:val="24"/>
          <w:lang w:val="en-US" w:eastAsia="zh-CN"/>
        </w:rPr>
      </w:pPr>
      <w:r>
        <w:rPr>
          <w:rFonts w:hint="eastAsia" w:eastAsia="宋体"/>
          <w:sz w:val="20"/>
          <w:lang w:val="en-US" w:eastAsia="zh-CN"/>
        </w:rPr>
        <w:t xml:space="preserve">For Issue </w:t>
      </w:r>
      <w:r>
        <w:rPr>
          <w:rFonts w:hint="eastAsia" w:eastAsia="宋体"/>
          <w:sz w:val="20"/>
          <w:lang w:val="sv-SE" w:eastAsia="zh-CN"/>
        </w:rPr>
        <w:t>1-4-1</w:t>
      </w:r>
      <w:r>
        <w:rPr>
          <w:rFonts w:hint="eastAsia" w:eastAsia="宋体"/>
          <w:sz w:val="20"/>
          <w:lang w:val="en-US" w:eastAsia="zh-CN"/>
        </w:rPr>
        <w:t xml:space="preserve">b, it is the difference between option 3 and other options. In the current specification , Clause 8.3.2, </w:t>
      </w:r>
      <w:r>
        <w:rPr>
          <w:rFonts w:eastAsiaTheme="minorEastAsia"/>
          <w:sz w:val="21"/>
          <w:szCs w:val="24"/>
          <w:lang w:eastAsia="ja-JP"/>
        </w:rPr>
        <w:t>SCell activation delay is defined as follows</w:t>
      </w:r>
      <w:r>
        <w:rPr>
          <w:rFonts w:hint="eastAsia" w:eastAsiaTheme="minorEastAsia"/>
          <w:sz w:val="21"/>
          <w:szCs w:val="24"/>
          <w:lang w:val="en-US" w:eastAsia="zh-CN"/>
        </w:rPr>
        <w:t>:</w:t>
      </w:r>
    </w:p>
    <w:p>
      <w:pPr>
        <w:ind w:leftChars="100"/>
        <w:rPr>
          <w:rFonts w:hint="default" w:eastAsia="宋体"/>
          <w:i/>
          <w:iCs/>
          <w:color w:val="000000" w:themeColor="text1"/>
          <w:lang w:val="en-US" w:eastAsia="zh-CN"/>
          <w14:textFill>
            <w14:solidFill>
              <w14:schemeClr w14:val="tx1"/>
            </w14:solidFill>
          </w14:textFill>
        </w:rPr>
      </w:pPr>
      <w:r>
        <w:rPr>
          <w:i/>
          <w:iCs/>
          <w:color w:val="000000" w:themeColor="text1"/>
          <w14:textFill>
            <w14:solidFill>
              <w14:schemeClr w14:val="tx1"/>
            </w14:solidFill>
          </w14:textFill>
        </w:rPr>
        <w:t xml:space="preserve">Upon receiving SCell activation command in slot n, the UE shall be capable to transmit valid CSI report and apply actions related to the activation command for the SCell being activated no later than in slot </w:t>
      </w:r>
      <m:oMath>
        <m:r>
          <w:rPr>
            <w:rFonts w:ascii="Cambria Math" w:hAnsi="Cambria Math"/>
            <w:color w:val="000000" w:themeColor="text1"/>
            <w14:textFill>
              <w14:solidFill>
                <w14:schemeClr w14:val="tx1"/>
              </w14:solidFill>
            </w14:textFill>
          </w:rPr>
          <m:t>n+</m:t>
        </m:r>
        <m:f>
          <m:fPr>
            <m:ctrlPr>
              <w:rPr>
                <w:rFonts w:ascii="Cambria Math" w:hAnsi="Cambria Math"/>
                <w:i/>
                <w:iCs/>
                <w:color w:val="000000" w:themeColor="text1"/>
                <w14:textFill>
                  <w14:solidFill>
                    <w14:schemeClr w14:val="tx1"/>
                  </w14:solidFill>
                </w14:textFill>
              </w:rPr>
            </m:ctrlPr>
          </m:fPr>
          <m:num>
            <m:sSub>
              <m:sSubPr>
                <m:ctrlPr>
                  <w:rPr>
                    <w:rFonts w:ascii="Cambria Math" w:hAnsi="Cambria Math"/>
                    <w:i/>
                    <w:iCs/>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HARQ</m:t>
                </m:r>
                <m:ctrlPr>
                  <w:rPr>
                    <w:rFonts w:ascii="Cambria Math" w:hAnsi="Cambria Math"/>
                    <w:i/>
                    <w:iCs/>
                    <w:color w:val="000000" w:themeColor="text1"/>
                    <w14:textFill>
                      <w14:solidFill>
                        <w14:schemeClr w14:val="tx1"/>
                      </w14:solidFill>
                    </w14:textFill>
                  </w:rPr>
                </m:ctrlPr>
              </m:sub>
            </m:sSub>
            <m: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activation_time</m:t>
                </m:r>
                <m:ctrlPr>
                  <w:rPr>
                    <w:rFonts w:ascii="Cambria Math" w:hAnsi="Cambria Math"/>
                    <w:i/>
                    <w:iCs/>
                    <w:color w:val="000000" w:themeColor="text1"/>
                    <w14:textFill>
                      <w14:solidFill>
                        <w14:schemeClr w14:val="tx1"/>
                      </w14:solidFill>
                    </w14:textFill>
                  </w:rPr>
                </m:ctrlPr>
              </m:sub>
            </m:sSub>
            <m:r>
              <w:rPr>
                <w:rFonts w:ascii="Cambria Math" w:hAnsi="Cambria Math"/>
                <w:color w:val="000000" w:themeColor="text1"/>
                <w14:textFill>
                  <w14:solidFill>
                    <w14:schemeClr w14:val="tx1"/>
                  </w14:solidFill>
                </w14:textFill>
              </w:rPr>
              <m:t>+</m:t>
            </m:r>
            <m:sSub>
              <m:sSubPr>
                <m:ctrlPr>
                  <w:rPr>
                    <w:rFonts w:ascii="Cambria Math" w:hAnsi="Cambria Math"/>
                    <w:i/>
                    <w:iCs/>
                    <w:color w:val="000000" w:themeColor="text1"/>
                    <w14:textFill>
                      <w14:solidFill>
                        <w14:schemeClr w14:val="tx1"/>
                      </w14:solidFill>
                    </w14:textFill>
                  </w:rPr>
                </m:ctrlPr>
              </m:sSubPr>
              <m:e>
                <m:r>
                  <w:rPr>
                    <w:rFonts w:ascii="Cambria Math" w:hAnsi="Cambria Math"/>
                    <w:color w:val="000000" w:themeColor="text1"/>
                    <w14:textFill>
                      <w14:solidFill>
                        <w14:schemeClr w14:val="tx1"/>
                      </w14:solidFill>
                    </w14:textFill>
                  </w:rPr>
                  <m:t>T</m:t>
                </m:r>
                <m:ctrlPr>
                  <w:rPr>
                    <w:rFonts w:ascii="Cambria Math" w:hAnsi="Cambria Math"/>
                    <w:i/>
                    <w:iCs/>
                    <w:color w:val="000000" w:themeColor="text1"/>
                    <w14:textFill>
                      <w14:solidFill>
                        <w14:schemeClr w14:val="tx1"/>
                      </w14:solidFill>
                    </w14:textFill>
                  </w:rPr>
                </m:ctrlPr>
              </m:e>
              <m:sub>
                <m:r>
                  <w:rPr>
                    <w:rFonts w:ascii="Cambria Math" w:hAnsi="Cambria Math"/>
                    <w:color w:val="000000" w:themeColor="text1"/>
                    <w14:textFill>
                      <w14:solidFill>
                        <w14:schemeClr w14:val="tx1"/>
                      </w14:solidFill>
                    </w14:textFill>
                  </w:rPr>
                  <m:t>CSI_Reporting</m:t>
                </m:r>
                <m:ctrlPr>
                  <w:rPr>
                    <w:rFonts w:ascii="Cambria Math" w:hAnsi="Cambria Math"/>
                    <w:i/>
                    <w:iCs/>
                    <w:color w:val="000000" w:themeColor="text1"/>
                    <w14:textFill>
                      <w14:solidFill>
                        <w14:schemeClr w14:val="tx1"/>
                      </w14:solidFill>
                    </w14:textFill>
                  </w:rPr>
                </m:ctrlPr>
              </m:sub>
            </m:sSub>
            <m:ctrlPr>
              <w:rPr>
                <w:rFonts w:ascii="Cambria Math" w:hAnsi="Cambria Math"/>
                <w:i/>
                <w:iCs/>
                <w:color w:val="000000" w:themeColor="text1"/>
                <w14:textFill>
                  <w14:solidFill>
                    <w14:schemeClr w14:val="tx1"/>
                  </w14:solidFill>
                </w14:textFill>
              </w:rPr>
            </m:ctrlPr>
          </m:num>
          <m:den>
            <m:r>
              <w:rPr>
                <w:rFonts w:ascii="Cambria Math" w:hAnsi="Cambria Math"/>
                <w:color w:val="000000" w:themeColor="text1"/>
                <w14:textFill>
                  <w14:solidFill>
                    <w14:schemeClr w14:val="tx1"/>
                  </w14:solidFill>
                </w14:textFill>
              </w:rPr>
              <m:t>NR slot length</m:t>
            </m:r>
            <m:ctrlPr>
              <w:rPr>
                <w:rFonts w:ascii="Cambria Math" w:hAnsi="Cambria Math"/>
                <w:i/>
                <w:iCs/>
                <w:color w:val="000000" w:themeColor="text1"/>
                <w14:textFill>
                  <w14:solidFill>
                    <w14:schemeClr w14:val="tx1"/>
                  </w14:solidFill>
                </w14:textFill>
              </w:rPr>
            </m:ctrlPr>
          </m:den>
        </m:f>
      </m:oMath>
      <w:r>
        <w:rPr>
          <w:i/>
          <w:iCs/>
          <w:color w:val="000000" w:themeColor="text1"/>
          <w14:textFill>
            <w14:solidFill>
              <w14:schemeClr w14:val="tx1"/>
            </w14:solidFill>
          </w14:textFill>
        </w:rPr>
        <w:t xml:space="preserve"> , where:</w:t>
      </w:r>
      <w:r>
        <w:rPr>
          <w:rFonts w:hint="eastAsia" w:eastAsia="宋体"/>
          <w:i/>
          <w:iCs/>
          <w:color w:val="000000" w:themeColor="text1"/>
          <w:lang w:val="en-US" w:eastAsia="zh-CN"/>
          <w14:textFill>
            <w14:solidFill>
              <w14:schemeClr w14:val="tx1"/>
            </w14:solidFill>
          </w14:textFill>
        </w:rPr>
        <w:t>...</w:t>
      </w:r>
    </w:p>
    <w:p>
      <w:pPr>
        <w:numPr>
          <w:ilvl w:val="0"/>
          <w:numId w:val="0"/>
        </w:numPr>
        <w:spacing w:after="120" w:line="259" w:lineRule="auto"/>
        <w:jc w:val="both"/>
        <w:rPr>
          <w:rFonts w:hint="eastAsia"/>
          <w:b w:val="0"/>
          <w:bCs w:val="0"/>
          <w:color w:val="000000" w:themeColor="text1"/>
          <w:lang w:val="en-US" w:eastAsia="zh-CN"/>
          <w14:textFill>
            <w14:solidFill>
              <w14:schemeClr w14:val="tx1"/>
            </w14:solidFill>
          </w14:textFill>
        </w:rPr>
      </w:pPr>
      <w:r>
        <w:rPr>
          <w:rFonts w:hint="eastAsia"/>
          <w:b w:val="0"/>
          <w:bCs w:val="0"/>
          <w:color w:val="000000" w:themeColor="text1"/>
          <w:lang w:val="en-US" w:eastAsia="zh-CN"/>
          <w14:textFill>
            <w14:solidFill>
              <w14:schemeClr w14:val="tx1"/>
            </w14:solidFill>
          </w14:textFill>
        </w:rPr>
        <w:t>And</w:t>
      </w:r>
    </w:p>
    <w:p>
      <w:pPr>
        <w:numPr>
          <w:ilvl w:val="0"/>
          <w:numId w:val="0"/>
        </w:numPr>
        <w:spacing w:after="120" w:line="259" w:lineRule="auto"/>
        <w:ind w:leftChars="100"/>
        <w:jc w:val="both"/>
        <w:rPr>
          <w:rFonts w:hint="default"/>
          <w:b w:val="0"/>
          <w:bCs w:val="0"/>
          <w:i/>
          <w:iCs/>
          <w:color w:val="000000" w:themeColor="text1"/>
          <w:lang w:val="en-US" w:eastAsia="zh-CN"/>
          <w14:textFill>
            <w14:solidFill>
              <w14:schemeClr w14:val="tx1"/>
            </w14:solidFill>
          </w14:textFill>
        </w:rPr>
      </w:pPr>
      <w:r>
        <w:rPr>
          <w:i/>
          <w:iCs/>
        </w:rPr>
        <w:t>T</w:t>
      </w:r>
      <w:r>
        <w:rPr>
          <w:i/>
          <w:iCs/>
          <w:vertAlign w:val="subscript"/>
        </w:rPr>
        <w:t>CSI_reporting</w:t>
      </w:r>
      <w:r>
        <w:rPr>
          <w:i/>
          <w:iCs/>
        </w:rPr>
        <w:t xml:space="preserve"> is the delay (in ms) </w:t>
      </w:r>
      <w:r>
        <w:rPr>
          <w:i/>
          <w:iCs/>
          <w:lang w:eastAsia="zh-CN"/>
        </w:rPr>
        <w:t xml:space="preserve">including </w:t>
      </w:r>
      <w:r>
        <w:rPr>
          <w:i/>
          <w:iCs/>
        </w:rPr>
        <w:t>uncertainty in acquiring the first available downlink CSI reference resource</w:t>
      </w:r>
      <w:r>
        <w:rPr>
          <w:i/>
          <w:iCs/>
          <w:lang w:eastAsia="zh-CN"/>
        </w:rPr>
        <w:t xml:space="preserve">, UE processing time for CSI reporting and </w:t>
      </w:r>
      <w:r>
        <w:rPr>
          <w:i/>
          <w:iCs/>
        </w:rPr>
        <w:t>uncertainty in acquiring the first available CSI reporting resources as specified in TS 38.331</w:t>
      </w:r>
      <w:r>
        <w:rPr>
          <w:rFonts w:hint="eastAsia" w:eastAsia="宋体"/>
          <w:i/>
          <w:iCs/>
          <w:lang w:val="en-US" w:eastAsia="zh-CN"/>
        </w:rPr>
        <w:t>.</w:t>
      </w:r>
      <w:r>
        <w:rPr>
          <w:i/>
          <w:iCs/>
        </w:rPr>
        <w:t> </w:t>
      </w:r>
    </w:p>
    <w:p>
      <w:pPr>
        <w:spacing w:before="0" w:after="120"/>
        <w:jc w:val="left"/>
        <w:rPr>
          <w:rFonts w:hint="eastAsia" w:eastAsia="宋体"/>
          <w:sz w:val="20"/>
          <w:lang w:val="en-US" w:eastAsia="zh-CN"/>
        </w:rPr>
      </w:pPr>
    </w:p>
    <w:p>
      <w:pPr>
        <w:spacing w:before="0" w:after="120"/>
        <w:jc w:val="left"/>
        <w:rPr>
          <w:rFonts w:hint="eastAsia" w:eastAsia="宋体"/>
          <w:i w:val="0"/>
          <w:iCs w:val="0"/>
          <w:lang w:val="en-US" w:eastAsia="zh-CN"/>
        </w:rPr>
      </w:pPr>
      <w:r>
        <w:rPr>
          <w:rFonts w:hint="eastAsia" w:eastAsia="宋体"/>
          <w:sz w:val="20"/>
          <w:lang w:val="en-US" w:eastAsia="zh-CN"/>
        </w:rPr>
        <w:t xml:space="preserve">Based on </w:t>
      </w:r>
      <w:r>
        <w:rPr>
          <w:rFonts w:hint="eastAsia" w:eastAsiaTheme="minorEastAsia"/>
          <w:sz w:val="21"/>
          <w:szCs w:val="24"/>
          <w:lang w:eastAsia="ja-JP"/>
        </w:rPr>
        <w:t>these specification,</w:t>
      </w:r>
      <w:r>
        <w:rPr>
          <w:rFonts w:hint="eastAsia" w:eastAsiaTheme="minorEastAsia"/>
          <w:sz w:val="21"/>
          <w:szCs w:val="24"/>
          <w:lang w:val="en-US" w:eastAsia="zh-CN"/>
        </w:rPr>
        <w:t xml:space="preserve"> </w:t>
      </w:r>
      <w:r>
        <w:rPr>
          <w:i w:val="0"/>
          <w:iCs w:val="0"/>
        </w:rPr>
        <w:t>T</w:t>
      </w:r>
      <w:r>
        <w:rPr>
          <w:i w:val="0"/>
          <w:iCs w:val="0"/>
          <w:vertAlign w:val="subscript"/>
        </w:rPr>
        <w:t>CSI_reporting</w:t>
      </w:r>
      <w:r>
        <w:rPr>
          <w:i w:val="0"/>
          <w:iCs w:val="0"/>
        </w:rPr>
        <w:t xml:space="preserve"> </w:t>
      </w:r>
      <w:r>
        <w:rPr>
          <w:rFonts w:hint="eastAsia" w:eastAsia="宋体"/>
          <w:i w:val="0"/>
          <w:iCs w:val="0"/>
          <w:lang w:val="en-US" w:eastAsia="zh-CN"/>
        </w:rPr>
        <w:t xml:space="preserve">should be included into the </w:t>
      </w:r>
      <w:r>
        <w:rPr>
          <w:rFonts w:hint="eastAsia" w:eastAsia="宋体"/>
          <w:i w:val="0"/>
          <w:iCs w:val="0"/>
          <w:lang w:val="sv-SE" w:eastAsia="zh-CN"/>
        </w:rPr>
        <w:t>PUCCH SCell activation</w:t>
      </w:r>
      <w:r>
        <w:rPr>
          <w:rFonts w:hint="eastAsia" w:eastAsia="宋体"/>
          <w:i w:val="0"/>
          <w:iCs w:val="0"/>
          <w:lang w:val="en-US" w:eastAsia="zh-CN"/>
        </w:rPr>
        <w:t xml:space="preserve"> delay.</w:t>
      </w:r>
    </w:p>
    <w:p>
      <w:pPr>
        <w:jc w:val="both"/>
        <w:rPr>
          <w:rFonts w:hint="eastAsia"/>
          <w:b/>
          <w:bCs/>
          <w:sz w:val="21"/>
          <w:lang w:val="en-US" w:eastAsia="zh-CN"/>
        </w:rPr>
      </w:pPr>
      <w:r>
        <w:rPr>
          <w:b/>
          <w:bCs/>
          <w:sz w:val="21"/>
          <w:lang w:eastAsia="zh-CN"/>
        </w:rPr>
        <w:t xml:space="preserve">Proposal </w:t>
      </w:r>
      <w:r>
        <w:rPr>
          <w:rFonts w:hint="eastAsia"/>
          <w:b/>
          <w:bCs/>
          <w:sz w:val="21"/>
          <w:lang w:val="en-US" w:eastAsia="zh-CN"/>
        </w:rPr>
        <w:t>2</w:t>
      </w:r>
      <w:r>
        <w:rPr>
          <w:b/>
          <w:bCs/>
          <w:sz w:val="21"/>
          <w:lang w:eastAsia="zh-CN"/>
        </w:rPr>
        <w:t>:</w:t>
      </w:r>
      <w:r>
        <w:rPr>
          <w:rFonts w:hint="eastAsia"/>
          <w:b/>
          <w:bCs/>
          <w:sz w:val="21"/>
          <w:lang w:val="en-US" w:eastAsia="zh-CN"/>
        </w:rPr>
        <w:t xml:space="preserve"> </w:t>
      </w:r>
    </w:p>
    <w:p>
      <w:pPr>
        <w:numPr>
          <w:ilvl w:val="0"/>
          <w:numId w:val="8"/>
        </w:numPr>
        <w:ind w:left="420" w:leftChars="0" w:hanging="420" w:firstLineChars="0"/>
        <w:jc w:val="both"/>
        <w:rPr>
          <w:rFonts w:hint="eastAsia"/>
          <w:b/>
          <w:bCs/>
          <w:sz w:val="21"/>
          <w:lang w:val="en-US" w:eastAsia="zh-CN"/>
        </w:rPr>
      </w:pPr>
      <w:r>
        <w:rPr>
          <w:rFonts w:hint="eastAsia"/>
          <w:b/>
          <w:bCs/>
          <w:sz w:val="21"/>
          <w:lang w:val="pl-PL" w:eastAsia="zh-CN"/>
        </w:rPr>
        <w:t>T</w:t>
      </w:r>
      <w:r>
        <w:rPr>
          <w:rFonts w:hint="eastAsia"/>
          <w:b/>
          <w:bCs/>
          <w:sz w:val="21"/>
          <w:vertAlign w:val="subscript"/>
          <w:lang w:val="pl-PL" w:eastAsia="zh-CN"/>
        </w:rPr>
        <w:t>PDCCH</w:t>
      </w:r>
      <w:r>
        <w:rPr>
          <w:rFonts w:hint="eastAsia"/>
          <w:b/>
          <w:bCs/>
          <w:sz w:val="21"/>
          <w:lang w:val="pl-PL" w:eastAsia="zh-CN"/>
        </w:rPr>
        <w:t xml:space="preserve"> is </w:t>
      </w:r>
      <w:r>
        <w:rPr>
          <w:rFonts w:hint="eastAsia"/>
          <w:b/>
          <w:bCs/>
          <w:sz w:val="21"/>
          <w:lang w:val="en-US" w:eastAsia="zh-CN"/>
        </w:rPr>
        <w:t xml:space="preserve">not </w:t>
      </w:r>
      <w:r>
        <w:rPr>
          <w:rFonts w:hint="eastAsia"/>
          <w:b/>
          <w:bCs/>
          <w:sz w:val="21"/>
          <w:lang w:val="pl-PL" w:eastAsia="zh-CN"/>
        </w:rPr>
        <w:t xml:space="preserve">needed in </w:t>
      </w:r>
      <w:r>
        <w:rPr>
          <w:rFonts w:hint="eastAsia"/>
          <w:b/>
          <w:bCs/>
          <w:sz w:val="21"/>
          <w:lang w:val="sv-SE" w:eastAsia="zh-CN"/>
        </w:rPr>
        <w:t>the PUCCH SCell activation requirements for invalid TA case</w:t>
      </w:r>
      <w:r>
        <w:rPr>
          <w:rFonts w:hint="eastAsia"/>
          <w:b/>
          <w:bCs/>
          <w:sz w:val="21"/>
          <w:lang w:val="en-US" w:eastAsia="zh-CN"/>
        </w:rPr>
        <w:t>.</w:t>
      </w:r>
    </w:p>
    <w:p>
      <w:pPr>
        <w:numPr>
          <w:ilvl w:val="0"/>
          <w:numId w:val="8"/>
        </w:numPr>
        <w:ind w:left="420" w:leftChars="0" w:hanging="420" w:firstLineChars="0"/>
        <w:jc w:val="both"/>
        <w:rPr>
          <w:rFonts w:hint="eastAsia"/>
          <w:b/>
          <w:bCs/>
          <w:sz w:val="21"/>
          <w:lang w:val="sv-SE" w:eastAsia="zh-CN"/>
        </w:rPr>
      </w:pPr>
      <w:r>
        <w:rPr>
          <w:rFonts w:hint="eastAsia"/>
          <w:b/>
          <w:bCs/>
          <w:sz w:val="21"/>
          <w:lang w:val="sv-SE" w:eastAsia="zh-CN"/>
        </w:rPr>
        <w:t>T</w:t>
      </w:r>
      <w:r>
        <w:rPr>
          <w:rFonts w:hint="eastAsia"/>
          <w:b/>
          <w:bCs/>
          <w:sz w:val="21"/>
          <w:vertAlign w:val="subscript"/>
          <w:lang w:val="sv-SE" w:eastAsia="zh-CN"/>
        </w:rPr>
        <w:t>CSI_reporting</w:t>
      </w:r>
      <w:r>
        <w:rPr>
          <w:rFonts w:hint="eastAsia"/>
          <w:b/>
          <w:bCs/>
          <w:sz w:val="21"/>
          <w:lang w:val="pl-PL" w:eastAsia="zh-CN"/>
        </w:rPr>
        <w:t xml:space="preserve"> is needed</w:t>
      </w:r>
      <w:r>
        <w:rPr>
          <w:rFonts w:hint="eastAsia"/>
          <w:b/>
          <w:bCs/>
          <w:sz w:val="21"/>
          <w:lang w:val="sv-SE" w:eastAsia="zh-CN"/>
        </w:rPr>
        <w:t xml:space="preserve"> in the PUCCH SCell activation requirements for invalid TA case. </w:t>
      </w:r>
    </w:p>
    <w:p>
      <w:pPr>
        <w:jc w:val="both"/>
        <w:rPr>
          <w:rFonts w:hint="default"/>
          <w:b/>
          <w:bCs/>
          <w:sz w:val="21"/>
          <w:lang w:val="en-US" w:eastAsia="zh-CN"/>
        </w:rPr>
      </w:pPr>
    </w:p>
    <w:p>
      <w:pPr>
        <w:spacing w:before="0" w:after="120"/>
        <w:jc w:val="left"/>
        <w:rPr>
          <w:rFonts w:hint="default" w:eastAsia="宋体"/>
          <w:i w:val="0"/>
          <w:iCs w:val="0"/>
          <w:lang w:val="en-US" w:eastAsia="zh-CN"/>
        </w:rPr>
      </w:pPr>
    </w:p>
    <w:tbl>
      <w:tblPr>
        <w:tblStyle w:val="18"/>
        <w:tblW w:w="0" w:type="auto"/>
        <w:tblInd w:w="0" w:type="dxa"/>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Layout w:type="autofit"/>
        <w:tblCellMar>
          <w:top w:w="0" w:type="dxa"/>
          <w:left w:w="108" w:type="dxa"/>
          <w:bottom w:w="0" w:type="dxa"/>
          <w:right w:w="108" w:type="dxa"/>
        </w:tblCellMar>
      </w:tblPr>
      <w:tblGrid>
        <w:gridCol w:w="9843"/>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none" w:color="auto" w:sz="0" w:space="0"/>
            <w:insideV w:val="none" w:color="auto" w:sz="0" w:space="0"/>
          </w:tblBorders>
          <w:tblCellMar>
            <w:top w:w="0" w:type="dxa"/>
            <w:left w:w="108" w:type="dxa"/>
            <w:bottom w:w="0" w:type="dxa"/>
            <w:right w:w="108" w:type="dxa"/>
          </w:tblCellMar>
        </w:tblPrEx>
        <w:tc>
          <w:tcPr>
            <w:tcW w:w="10368" w:type="dxa"/>
            <w:tcBorders>
              <w:tl2br w:val="nil"/>
              <w:tr2bl w:val="nil"/>
            </w:tcBorders>
            <w:noWrap w:val="0"/>
            <w:vAlign w:val="top"/>
          </w:tcPr>
          <w:p>
            <w:pPr>
              <w:pStyle w:val="4"/>
              <w:pBdr>
                <w:top w:val="none" w:color="auto" w:sz="0" w:space="0"/>
              </w:pBdr>
              <w:spacing w:before="120" w:after="180" w:line="240" w:lineRule="auto"/>
              <w:rPr>
                <w:rFonts w:hint="eastAsia" w:ascii="Arial" w:hAnsi="Arial" w:cs="Times New Roman"/>
                <w:b/>
                <w:color w:val="000000" w:themeColor="text1"/>
                <w:sz w:val="21"/>
                <w:szCs w:val="18"/>
                <w:u w:val="single"/>
                <w:lang w:val="sv-SE" w:eastAsia="zh-CN" w:bidi="ar-SA"/>
                <w14:textFill>
                  <w14:solidFill>
                    <w14:schemeClr w14:val="tx1"/>
                  </w14:solidFill>
                </w14:textFill>
              </w:rPr>
            </w:pPr>
            <w:r>
              <w:rPr>
                <w:rFonts w:hint="eastAsia" w:ascii="Arial" w:hAnsi="Arial" w:cs="Times New Roman"/>
                <w:b/>
                <w:color w:val="000000" w:themeColor="text1"/>
                <w:sz w:val="21"/>
                <w:szCs w:val="18"/>
                <w:u w:val="single"/>
                <w:lang w:val="sv-SE" w:eastAsia="zh-CN" w:bidi="ar-SA"/>
                <w14:textFill>
                  <w14:solidFill>
                    <w14:schemeClr w14:val="tx1"/>
                  </w14:solidFill>
                </w14:textFill>
              </w:rPr>
              <w:t>Issue 1-4-2: The delay for obtaining a valid TA command for the sTAG to which the Scell configured with PUCCH belongs (i.e. T2)</w:t>
            </w:r>
          </w:p>
          <w:p>
            <w:pPr>
              <w:rPr>
                <w:i/>
                <w:lang w:val="sv-SE" w:eastAsia="zh-CN"/>
              </w:rPr>
            </w:pPr>
            <w:r>
              <w:rPr>
                <w:i/>
                <w:lang w:val="sv-SE" w:eastAsia="zh-CN"/>
              </w:rPr>
              <w:t>O</w:t>
            </w:r>
            <w:r>
              <w:rPr>
                <w:rFonts w:hint="eastAsia"/>
                <w:i/>
                <w:lang w:val="sv-SE" w:eastAsia="zh-CN"/>
              </w:rPr>
              <w:t xml:space="preserve">pen issue: </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hint="eastAsia" w:eastAsiaTheme="minorEastAsia"/>
                <w:lang w:eastAsia="zh-CN"/>
              </w:rPr>
              <w:t>Option 1: (CATT)</w:t>
            </w:r>
          </w:p>
          <w:p>
            <w:pPr>
              <w:pStyle w:val="27"/>
              <w:numPr>
                <w:ilvl w:val="1"/>
                <w:numId w:val="7"/>
              </w:numPr>
              <w:overflowPunct/>
              <w:autoSpaceDE/>
              <w:autoSpaceDN/>
              <w:adjustRightInd/>
              <w:spacing w:after="120" w:line="259" w:lineRule="auto"/>
              <w:ind w:firstLineChars="0"/>
              <w:textAlignment w:val="auto"/>
              <w:rPr>
                <w:rFonts w:eastAsiaTheme="minorEastAsia"/>
                <w:lang w:val="pl-PL"/>
              </w:rPr>
            </w:pPr>
            <w:r>
              <w:rPr>
                <w:rFonts w:eastAsiaTheme="minorEastAsia"/>
                <w:lang w:val="pl-PL"/>
              </w:rPr>
              <w:t>T</w:t>
            </w:r>
            <w:r>
              <w:rPr>
                <w:rFonts w:eastAsiaTheme="minorEastAsia"/>
                <w:vertAlign w:val="subscript"/>
                <w:lang w:val="pl-PL"/>
              </w:rPr>
              <w:t>2</w:t>
            </w:r>
            <w:r>
              <w:rPr>
                <w:rFonts w:eastAsiaTheme="minorEastAsia"/>
                <w:lang w:val="pl-PL"/>
              </w:rPr>
              <w:t xml:space="preserve"> is the delay for obtaining a valid TA command from the point that UE transmit PRACH</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2: (Qualcomm, Apple, Huawei, Intel, Xiaomi, Nokia, Ericsson, ZTE, NTT DOCOMO)</w:t>
            </w:r>
          </w:p>
          <w:p>
            <w:pPr>
              <w:pStyle w:val="27"/>
              <w:numPr>
                <w:ilvl w:val="1"/>
                <w:numId w:val="7"/>
              </w:numPr>
              <w:overflowPunct/>
              <w:autoSpaceDE/>
              <w:autoSpaceDN/>
              <w:adjustRightInd/>
              <w:spacing w:after="0" w:line="259" w:lineRule="auto"/>
              <w:ind w:firstLineChars="0"/>
              <w:textAlignment w:val="auto"/>
              <w:rPr>
                <w:rFonts w:eastAsiaTheme="minorEastAsia"/>
                <w:szCs w:val="16"/>
                <w:lang w:val="pl-PL"/>
              </w:rPr>
            </w:pPr>
            <w:r>
              <w:rPr>
                <w:szCs w:val="16"/>
                <w:lang w:val="en-US" w:eastAsia="ja-JP"/>
              </w:rPr>
              <w:t>T</w:t>
            </w:r>
            <w:r>
              <w:rPr>
                <w:szCs w:val="16"/>
                <w:vertAlign w:val="subscript"/>
                <w:lang w:val="en-US" w:eastAsia="ja-JP"/>
              </w:rPr>
              <w:t>2</w:t>
            </w:r>
            <w:r>
              <w:rPr>
                <w:szCs w:val="16"/>
                <w:lang w:val="en-US" w:eastAsia="ja-JP"/>
              </w:rPr>
              <w:t xml:space="preserve"> is the delay from slot n + (T</w:t>
            </w:r>
            <w:r>
              <w:rPr>
                <w:szCs w:val="16"/>
                <w:vertAlign w:val="subscript"/>
                <w:lang w:val="en-US" w:eastAsia="ja-JP"/>
              </w:rPr>
              <w:t>HARQ</w:t>
            </w:r>
            <w:r>
              <w:rPr>
                <w:szCs w:val="16"/>
                <w:lang w:val="en-US" w:eastAsia="ja-JP"/>
              </w:rPr>
              <w:t xml:space="preserve"> + T</w:t>
            </w:r>
            <w:r>
              <w:rPr>
                <w:szCs w:val="16"/>
                <w:vertAlign w:val="subscript"/>
                <w:lang w:val="en-US" w:eastAsia="ja-JP"/>
              </w:rPr>
              <w:t xml:space="preserve">activatation_time </w:t>
            </w:r>
            <w:r>
              <w:rPr>
                <w:szCs w:val="16"/>
                <w:lang w:val="en-US" w:eastAsia="ja-JP"/>
              </w:rPr>
              <w:t>+T</w:t>
            </w:r>
            <w:r>
              <w:rPr>
                <w:szCs w:val="16"/>
                <w:vertAlign w:val="subscript"/>
                <w:lang w:val="en-US" w:eastAsia="ja-JP"/>
              </w:rPr>
              <w:t>1</w:t>
            </w:r>
            <w:r>
              <w:rPr>
                <w:szCs w:val="16"/>
                <w:lang w:val="en-US" w:eastAsia="ja-JP"/>
              </w:rPr>
              <w:t>)/NR slot length until UE has obtained a valid TA command for the target PUCCH Scell being activated. T</w:t>
            </w:r>
            <w:r>
              <w:rPr>
                <w:szCs w:val="16"/>
                <w:vertAlign w:val="subscript"/>
                <w:lang w:val="en-US" w:eastAsia="ja-JP"/>
              </w:rPr>
              <w:t xml:space="preserve">activatation_time </w:t>
            </w:r>
            <w:r>
              <w:rPr>
                <w:szCs w:val="16"/>
                <w:lang w:val="en-US" w:eastAsia="ja-JP"/>
              </w:rPr>
              <w:t>is defined in TS38.133 section 8.3.2. slot n is the slot when UE received PUCCH Scell activation MAC CE</w:t>
            </w:r>
            <w:r>
              <w:rPr>
                <w:szCs w:val="16"/>
                <w:lang w:val="en-US" w:eastAsia="zh-CN"/>
              </w:rPr>
              <w:t>.</w:t>
            </w:r>
          </w:p>
          <w:p>
            <w:pPr>
              <w:pStyle w:val="27"/>
              <w:numPr>
                <w:ilvl w:val="0"/>
                <w:numId w:val="7"/>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O</w:t>
            </w:r>
            <w:r>
              <w:rPr>
                <w:rFonts w:hint="eastAsia" w:eastAsia="宋体"/>
                <w:szCs w:val="24"/>
                <w:lang w:eastAsia="zh-CN"/>
              </w:rPr>
              <w:t>ption 3: (vivo, NTT DOCOMO)</w:t>
            </w:r>
          </w:p>
          <w:p>
            <w:pPr>
              <w:pStyle w:val="27"/>
              <w:numPr>
                <w:ilvl w:val="1"/>
                <w:numId w:val="7"/>
              </w:numPr>
              <w:overflowPunct/>
              <w:autoSpaceDE/>
              <w:autoSpaceDN/>
              <w:adjustRightInd/>
              <w:spacing w:after="120" w:line="259" w:lineRule="auto"/>
              <w:ind w:firstLineChars="0"/>
              <w:textAlignment w:val="auto"/>
              <w:rPr>
                <w:rFonts w:eastAsiaTheme="minorEastAsia"/>
                <w:lang w:val="pl-PL"/>
              </w:rPr>
            </w:pPr>
            <w:r>
              <w:rPr>
                <w:lang w:val="en-US" w:eastAsia="ja-JP"/>
              </w:rPr>
              <w:t>T</w:t>
            </w:r>
            <w:r>
              <w:rPr>
                <w:vertAlign w:val="subscript"/>
                <w:lang w:val="en-US" w:eastAsia="ja-JP"/>
              </w:rPr>
              <w:t>2</w:t>
            </w:r>
            <w:r>
              <w:rPr>
                <w:lang w:val="en-US" w:eastAsia="ja-JP"/>
              </w:rPr>
              <w:t xml:space="preserve"> is the delay from slot n + (T</w:t>
            </w:r>
            <w:r>
              <w:rPr>
                <w:vertAlign w:val="subscript"/>
                <w:lang w:val="en-US" w:eastAsia="ja-JP"/>
              </w:rPr>
              <w:t xml:space="preserve">activate_basic </w:t>
            </w:r>
            <w:r>
              <w:rPr>
                <w:lang w:val="en-US" w:eastAsia="ja-JP"/>
              </w:rPr>
              <w:t>+T</w:t>
            </w:r>
            <w:r>
              <w:rPr>
                <w:vertAlign w:val="subscript"/>
                <w:lang w:val="en-US" w:eastAsia="ja-JP"/>
              </w:rPr>
              <w:t>1</w:t>
            </w:r>
            <w:r>
              <w:rPr>
                <w:lang w:val="en-US" w:eastAsia="ja-JP"/>
              </w:rPr>
              <w:t>)/NR slot length until UE has obtained a valid TA command for the target PUCCH Scell being activated. T</w:t>
            </w:r>
            <w:r>
              <w:rPr>
                <w:vertAlign w:val="subscript"/>
                <w:lang w:val="en-US" w:eastAsia="ja-JP"/>
              </w:rPr>
              <w:t xml:space="preserve">activate_basic </w:t>
            </w:r>
            <w:r>
              <w:rPr>
                <w:lang w:val="en-US" w:eastAsia="ja-JP"/>
              </w:rPr>
              <w:t>is the normal Scell activation delay in TS38.133 section 8.3.2</w:t>
            </w:r>
            <w:r>
              <w:rPr>
                <w:rFonts w:hint="eastAsia"/>
                <w:lang w:val="en-US" w:eastAsia="zh-CN"/>
              </w:rPr>
              <w:t xml:space="preserve"> </w:t>
            </w:r>
            <w:r>
              <w:rPr>
                <w:rFonts w:hint="eastAsia" w:eastAsiaTheme="minorEastAsia"/>
                <w:lang w:val="en-US" w:eastAsia="zh-CN"/>
              </w:rPr>
              <w:t xml:space="preserve">(i.e. </w:t>
            </w:r>
            <w:r>
              <w:rPr>
                <w:bCs/>
                <w:iCs/>
                <w:lang w:eastAsia="zh-CN"/>
              </w:rPr>
              <w:t>( T</w:t>
            </w:r>
            <w:r>
              <w:rPr>
                <w:bCs/>
                <w:iCs/>
                <w:vertAlign w:val="subscript"/>
                <w:lang w:eastAsia="zh-CN"/>
              </w:rPr>
              <w:t xml:space="preserve">HARQ </w:t>
            </w:r>
            <w:r>
              <w:rPr>
                <w:bCs/>
                <w:iCs/>
                <w:lang w:eastAsia="zh-CN"/>
              </w:rPr>
              <w:t>+ T</w:t>
            </w:r>
            <w:r>
              <w:rPr>
                <w:bCs/>
                <w:iCs/>
                <w:vertAlign w:val="subscript"/>
                <w:lang w:eastAsia="zh-CN"/>
              </w:rPr>
              <w:t xml:space="preserve">activation_time </w:t>
            </w:r>
            <w:r>
              <w:rPr>
                <w:bCs/>
                <w:iCs/>
                <w:lang w:eastAsia="zh-CN"/>
              </w:rPr>
              <w:t>+T</w:t>
            </w:r>
            <w:r>
              <w:rPr>
                <w:bCs/>
                <w:iCs/>
                <w:vertAlign w:val="subscript"/>
                <w:lang w:eastAsia="zh-CN"/>
              </w:rPr>
              <w:t>CSI_Reporting</w:t>
            </w:r>
            <w:r>
              <w:rPr>
                <w:bCs/>
                <w:iCs/>
                <w:lang w:eastAsia="zh-CN"/>
              </w:rPr>
              <w:t>)/ NR slot length</w:t>
            </w:r>
            <w:r>
              <w:rPr>
                <w:rFonts w:hint="eastAsia" w:eastAsiaTheme="minorEastAsia"/>
                <w:lang w:val="en-US" w:eastAsia="zh-CN"/>
              </w:rPr>
              <w:t>)</w:t>
            </w:r>
            <w:r>
              <w:rPr>
                <w:lang w:val="en-US" w:eastAsia="ja-JP"/>
              </w:rPr>
              <w:t>. Slot n is the slot when UE received PUCCH Scell activation MAC CE</w:t>
            </w:r>
            <w:r>
              <w:rPr>
                <w:rFonts w:hint="eastAsia"/>
                <w:lang w:val="en-US" w:eastAsia="zh-CN"/>
              </w:rPr>
              <w:t xml:space="preserve">. </w:t>
            </w:r>
          </w:p>
          <w:p>
            <w:pPr>
              <w:numPr>
                <w:ilvl w:val="0"/>
                <w:numId w:val="0"/>
              </w:numPr>
              <w:spacing w:after="120" w:line="259" w:lineRule="auto"/>
              <w:ind w:left="1440" w:leftChars="0"/>
              <w:jc w:val="both"/>
            </w:pPr>
          </w:p>
        </w:tc>
      </w:tr>
    </w:tbl>
    <w:p>
      <w:pPr>
        <w:numPr>
          <w:ilvl w:val="0"/>
          <w:numId w:val="0"/>
        </w:numPr>
        <w:overflowPunct w:val="0"/>
        <w:autoSpaceDE w:val="0"/>
        <w:autoSpaceDN w:val="0"/>
        <w:adjustRightInd w:val="0"/>
        <w:spacing w:after="120"/>
        <w:ind w:leftChars="0"/>
        <w:textAlignment w:val="baseline"/>
        <w:rPr>
          <w:rFonts w:hint="eastAsia" w:cs="Times New Roman"/>
          <w:b w:val="0"/>
          <w:bCs w:val="0"/>
          <w:kern w:val="2"/>
          <w:sz w:val="21"/>
          <w:szCs w:val="22"/>
          <w:u w:val="none"/>
          <w:vertAlign w:val="baseline"/>
          <w:lang w:val="en-US" w:eastAsia="zh-CN" w:bidi="ar-SA"/>
        </w:rPr>
      </w:pPr>
    </w:p>
    <w:p>
      <w:pPr>
        <w:overflowPunct w:val="0"/>
        <w:autoSpaceDE w:val="0"/>
        <w:autoSpaceDN w:val="0"/>
        <w:adjustRightInd w:val="0"/>
        <w:spacing w:after="120"/>
        <w:textAlignment w:val="baseline"/>
        <w:rPr>
          <w:rFonts w:hint="eastAsia" w:eastAsia="Yu Mincho"/>
          <w:bCs/>
          <w:iCs/>
          <w:vertAlign w:val="baseline"/>
          <w:lang w:val="en-US" w:eastAsia="zh-CN"/>
        </w:rPr>
      </w:pPr>
      <w:r>
        <w:rPr>
          <w:rFonts w:hint="eastAsia" w:eastAsiaTheme="minorEastAsia"/>
          <w:color w:val="000000" w:themeColor="text1"/>
          <w:lang w:val="en-US" w:eastAsia="zh-CN"/>
          <w14:textFill>
            <w14:solidFill>
              <w14:schemeClr w14:val="tx1"/>
            </w14:solidFill>
          </w14:textFill>
        </w:rPr>
        <w:t xml:space="preserve">The difference between option 2 and option 3 is whether </w:t>
      </w:r>
      <w:r>
        <w:rPr>
          <w:rFonts w:eastAsia="Yu Mincho"/>
          <w:bCs/>
          <w:iCs/>
          <w:lang w:eastAsia="zh-CN"/>
        </w:rPr>
        <w:t>T</w:t>
      </w:r>
      <w:r>
        <w:rPr>
          <w:rFonts w:eastAsia="Yu Mincho"/>
          <w:bCs/>
          <w:iCs/>
          <w:vertAlign w:val="subscript"/>
          <w:lang w:eastAsia="zh-CN"/>
        </w:rPr>
        <w:t>CSI_Reporting</w:t>
      </w:r>
      <w:r>
        <w:rPr>
          <w:rFonts w:hint="eastAsia" w:eastAsia="Yu Mincho"/>
          <w:bCs/>
          <w:iCs/>
          <w:vertAlign w:val="subscript"/>
          <w:lang w:val="en-US" w:eastAsia="zh-CN"/>
        </w:rPr>
        <w:t xml:space="preserve"> </w:t>
      </w:r>
      <w:r>
        <w:rPr>
          <w:rFonts w:hint="eastAsia" w:eastAsia="Yu Mincho"/>
          <w:bCs/>
          <w:iCs/>
          <w:vertAlign w:val="baseline"/>
          <w:lang w:val="en-US" w:eastAsia="zh-CN"/>
        </w:rPr>
        <w:t xml:space="preserve">is included in T2. Since CSI reporting should be sent after RACH procedure, there is no need to consider </w:t>
      </w:r>
      <w:r>
        <w:rPr>
          <w:rFonts w:eastAsia="Yu Mincho"/>
          <w:bCs/>
          <w:iCs/>
          <w:lang w:eastAsia="zh-CN"/>
        </w:rPr>
        <w:t>T</w:t>
      </w:r>
      <w:r>
        <w:rPr>
          <w:rFonts w:eastAsia="Yu Mincho"/>
          <w:bCs/>
          <w:iCs/>
          <w:vertAlign w:val="subscript"/>
          <w:lang w:eastAsia="zh-CN"/>
        </w:rPr>
        <w:t>CSI_Reporting</w:t>
      </w:r>
      <w:r>
        <w:rPr>
          <w:rFonts w:hint="eastAsia" w:eastAsia="Yu Mincho"/>
          <w:bCs/>
          <w:iCs/>
          <w:vertAlign w:val="baseline"/>
          <w:lang w:val="en-US" w:eastAsia="zh-CN"/>
        </w:rPr>
        <w:t>.</w:t>
      </w:r>
    </w:p>
    <w:p>
      <w:pPr>
        <w:jc w:val="both"/>
        <w:rPr>
          <w:rFonts w:hint="eastAsia"/>
          <w:b/>
          <w:bCs/>
          <w:sz w:val="21"/>
          <w:lang w:val="en-US" w:eastAsia="zh-CN"/>
        </w:rPr>
      </w:pPr>
      <w:r>
        <w:rPr>
          <w:b/>
          <w:bCs/>
          <w:sz w:val="21"/>
          <w:lang w:eastAsia="zh-CN"/>
        </w:rPr>
        <w:t>Proposal</w:t>
      </w:r>
      <w:r>
        <w:rPr>
          <w:rFonts w:hint="eastAsia"/>
          <w:b/>
          <w:bCs/>
          <w:sz w:val="21"/>
          <w:lang w:val="en-US" w:eastAsia="zh-CN"/>
        </w:rPr>
        <w:t xml:space="preserve"> 3</w:t>
      </w:r>
      <w:r>
        <w:rPr>
          <w:b/>
          <w:bCs/>
          <w:sz w:val="21"/>
          <w:lang w:eastAsia="zh-CN"/>
        </w:rPr>
        <w:t>:</w:t>
      </w:r>
      <w:r>
        <w:rPr>
          <w:rFonts w:hint="eastAsia"/>
          <w:b/>
          <w:bCs/>
          <w:sz w:val="21"/>
          <w:lang w:val="en-US" w:eastAsia="zh-CN"/>
        </w:rPr>
        <w:t xml:space="preserve"> Take option 2 in WF[1]. </w:t>
      </w:r>
    </w:p>
    <w:p>
      <w:pPr>
        <w:pStyle w:val="27"/>
        <w:numPr>
          <w:ilvl w:val="1"/>
          <w:numId w:val="7"/>
        </w:numPr>
        <w:overflowPunct/>
        <w:autoSpaceDE/>
        <w:autoSpaceDN/>
        <w:adjustRightInd/>
        <w:spacing w:after="0" w:line="259" w:lineRule="auto"/>
        <w:ind w:firstLineChars="0"/>
        <w:textAlignment w:val="auto"/>
        <w:rPr>
          <w:rFonts w:eastAsiaTheme="minorEastAsia"/>
          <w:b/>
          <w:bCs/>
          <w:szCs w:val="16"/>
          <w:lang w:val="pl-PL"/>
        </w:rPr>
      </w:pPr>
      <w:r>
        <w:rPr>
          <w:b/>
          <w:bCs/>
          <w:szCs w:val="16"/>
          <w:lang w:val="en-US" w:eastAsia="ja-JP"/>
        </w:rPr>
        <w:t>T</w:t>
      </w:r>
      <w:r>
        <w:rPr>
          <w:b/>
          <w:bCs/>
          <w:szCs w:val="16"/>
          <w:vertAlign w:val="subscript"/>
          <w:lang w:val="en-US" w:eastAsia="ja-JP"/>
        </w:rPr>
        <w:t>2</w:t>
      </w:r>
      <w:r>
        <w:rPr>
          <w:b/>
          <w:bCs/>
          <w:szCs w:val="16"/>
          <w:lang w:val="en-US" w:eastAsia="ja-JP"/>
        </w:rPr>
        <w:t xml:space="preserve"> is the delay from slot n + (T</w:t>
      </w:r>
      <w:r>
        <w:rPr>
          <w:b/>
          <w:bCs/>
          <w:szCs w:val="16"/>
          <w:vertAlign w:val="subscript"/>
          <w:lang w:val="en-US" w:eastAsia="ja-JP"/>
        </w:rPr>
        <w:t>HARQ</w:t>
      </w:r>
      <w:r>
        <w:rPr>
          <w:b/>
          <w:bCs/>
          <w:szCs w:val="16"/>
          <w:lang w:val="en-US" w:eastAsia="ja-JP"/>
        </w:rPr>
        <w:t xml:space="preserve"> + T</w:t>
      </w:r>
      <w:r>
        <w:rPr>
          <w:b/>
          <w:bCs/>
          <w:szCs w:val="16"/>
          <w:vertAlign w:val="subscript"/>
          <w:lang w:val="en-US" w:eastAsia="ja-JP"/>
        </w:rPr>
        <w:t xml:space="preserve">activatation_time </w:t>
      </w:r>
      <w:r>
        <w:rPr>
          <w:b/>
          <w:bCs/>
          <w:szCs w:val="16"/>
          <w:lang w:val="en-US" w:eastAsia="ja-JP"/>
        </w:rPr>
        <w:t>+T</w:t>
      </w:r>
      <w:r>
        <w:rPr>
          <w:b/>
          <w:bCs/>
          <w:szCs w:val="16"/>
          <w:vertAlign w:val="subscript"/>
          <w:lang w:val="en-US" w:eastAsia="ja-JP"/>
        </w:rPr>
        <w:t>1</w:t>
      </w:r>
      <w:r>
        <w:rPr>
          <w:b/>
          <w:bCs/>
          <w:szCs w:val="16"/>
          <w:lang w:val="en-US" w:eastAsia="ja-JP"/>
        </w:rPr>
        <w:t>)/NR slot length until UE has obtained a valid TA command for the target PUCCH Scell being activated. T</w:t>
      </w:r>
      <w:r>
        <w:rPr>
          <w:b/>
          <w:bCs/>
          <w:szCs w:val="16"/>
          <w:vertAlign w:val="subscript"/>
          <w:lang w:val="en-US" w:eastAsia="ja-JP"/>
        </w:rPr>
        <w:t xml:space="preserve">activatation_time </w:t>
      </w:r>
      <w:r>
        <w:rPr>
          <w:b/>
          <w:bCs/>
          <w:szCs w:val="16"/>
          <w:lang w:val="en-US" w:eastAsia="ja-JP"/>
        </w:rPr>
        <w:t>is defined in TS38.133 section 8.3.2. slot n is the slot when UE received PUCCH Scell activation MAC CE</w:t>
      </w:r>
      <w:r>
        <w:rPr>
          <w:b/>
          <w:bCs/>
          <w:szCs w:val="16"/>
          <w:lang w:val="en-US" w:eastAsia="zh-CN"/>
        </w:rPr>
        <w:t>.</w:t>
      </w:r>
    </w:p>
    <w:p>
      <w:pPr>
        <w:overflowPunct w:val="0"/>
        <w:autoSpaceDE w:val="0"/>
        <w:autoSpaceDN w:val="0"/>
        <w:adjustRightInd w:val="0"/>
        <w:spacing w:after="120"/>
        <w:textAlignment w:val="baseline"/>
        <w:rPr>
          <w:rFonts w:hint="default" w:eastAsia="Yu Mincho"/>
          <w:bCs/>
          <w:iCs/>
          <w:vertAlign w:val="baseline"/>
          <w:lang w:val="en-US" w:eastAsia="zh-CN"/>
        </w:rPr>
      </w:pPr>
    </w:p>
    <w:p>
      <w:pPr>
        <w:numPr>
          <w:ilvl w:val="0"/>
          <w:numId w:val="0"/>
        </w:numPr>
        <w:overflowPunct w:val="0"/>
        <w:autoSpaceDE w:val="0"/>
        <w:autoSpaceDN w:val="0"/>
        <w:adjustRightInd w:val="0"/>
        <w:spacing w:after="120"/>
        <w:ind w:leftChars="0"/>
        <w:textAlignment w:val="baseline"/>
        <w:rPr>
          <w:rFonts w:hint="default" w:cs="Times New Roman"/>
          <w:b w:val="0"/>
          <w:bCs w:val="0"/>
          <w:kern w:val="2"/>
          <w:sz w:val="21"/>
          <w:szCs w:val="22"/>
          <w:u w:val="none"/>
          <w:vertAlign w:val="baseline"/>
          <w:lang w:val="en-US" w:eastAsia="zh-CN" w:bidi="ar-SA"/>
        </w:rPr>
      </w:pPr>
    </w:p>
    <w:p>
      <w:pPr>
        <w:pStyle w:val="29"/>
        <w:numPr>
          <w:ilvl w:val="0"/>
          <w:numId w:val="6"/>
        </w:numPr>
        <w:ind w:left="1134" w:leftChars="0" w:hanging="1134" w:firstLineChars="0"/>
        <w:jc w:val="both"/>
      </w:pPr>
      <w:r>
        <w:t>Conclusion</w:t>
      </w:r>
    </w:p>
    <w:p>
      <w:pPr>
        <w:jc w:val="both"/>
        <w:rPr>
          <w:rFonts w:hint="eastAsia"/>
          <w:b/>
          <w:bCs/>
          <w:sz w:val="21"/>
          <w:lang w:val="en-US" w:eastAsia="zh-CN"/>
        </w:rPr>
      </w:pPr>
      <w:r>
        <w:rPr>
          <w:b/>
          <w:bCs/>
          <w:sz w:val="21"/>
          <w:lang w:eastAsia="zh-CN"/>
        </w:rPr>
        <w:t xml:space="preserve">Proposal </w:t>
      </w:r>
      <w:r>
        <w:rPr>
          <w:rFonts w:hint="eastAsia"/>
          <w:b/>
          <w:bCs/>
          <w:sz w:val="21"/>
          <w:lang w:val="en-US" w:eastAsia="zh-CN"/>
        </w:rPr>
        <w:t>1</w:t>
      </w:r>
      <w:r>
        <w:rPr>
          <w:b/>
          <w:bCs/>
          <w:sz w:val="21"/>
          <w:lang w:eastAsia="zh-CN"/>
        </w:rPr>
        <w:t>:</w:t>
      </w:r>
      <w:r>
        <w:rPr>
          <w:rFonts w:hint="eastAsia"/>
          <w:b/>
          <w:bCs/>
          <w:sz w:val="21"/>
          <w:lang w:val="en-US" w:eastAsia="zh-CN"/>
        </w:rPr>
        <w:t xml:space="preserve"> Take option 2 in WF[1]. </w:t>
      </w:r>
    </w:p>
    <w:p>
      <w:pPr>
        <w:pStyle w:val="27"/>
        <w:numPr>
          <w:ilvl w:val="0"/>
          <w:numId w:val="0"/>
        </w:numPr>
        <w:overflowPunct/>
        <w:autoSpaceDE/>
        <w:autoSpaceDN/>
        <w:adjustRightInd/>
        <w:spacing w:after="120" w:line="259" w:lineRule="auto"/>
        <w:ind w:left="720" w:leftChars="0"/>
        <w:textAlignment w:val="auto"/>
        <w:rPr>
          <w:rFonts w:eastAsiaTheme="minorEastAsia"/>
          <w:b/>
          <w:bCs/>
          <w:lang w:val="pl-PL"/>
        </w:rPr>
      </w:pPr>
      <w:r>
        <w:rPr>
          <w:rFonts w:eastAsiaTheme="minorEastAsia"/>
          <w:b/>
          <w:bCs/>
          <w:lang w:val="pl-PL"/>
        </w:rPr>
        <w:t>If UE does not have the valid TA on the PUCCH Scell being activated, an additional UL synchronization procedure to obtain the valid TA comparing to ( T</w:t>
      </w:r>
      <w:r>
        <w:rPr>
          <w:rFonts w:eastAsiaTheme="minorEastAsia"/>
          <w:b/>
          <w:bCs/>
          <w:vertAlign w:val="subscript"/>
          <w:lang w:val="pl-PL"/>
        </w:rPr>
        <w:t>HARQ</w:t>
      </w:r>
      <w:r>
        <w:rPr>
          <w:rFonts w:eastAsiaTheme="minorEastAsia"/>
          <w:b/>
          <w:bCs/>
          <w:lang w:val="pl-PL"/>
        </w:rPr>
        <w:t xml:space="preserve"> + T</w:t>
      </w:r>
      <w:r>
        <w:rPr>
          <w:rFonts w:eastAsiaTheme="minorEastAsia"/>
          <w:b/>
          <w:bCs/>
          <w:vertAlign w:val="subscript"/>
          <w:lang w:val="pl-PL"/>
        </w:rPr>
        <w:t>activation_time</w:t>
      </w:r>
      <w:r>
        <w:rPr>
          <w:rFonts w:eastAsiaTheme="minorEastAsia"/>
          <w:b/>
          <w:bCs/>
          <w:lang w:val="pl-PL"/>
        </w:rPr>
        <w:t xml:space="preserve"> +T</w:t>
      </w:r>
      <w:r>
        <w:rPr>
          <w:rFonts w:eastAsiaTheme="minorEastAsia"/>
          <w:b/>
          <w:bCs/>
          <w:vertAlign w:val="subscript"/>
          <w:lang w:val="pl-PL"/>
        </w:rPr>
        <w:t>CSI_Reporting</w:t>
      </w:r>
      <w:r>
        <w:rPr>
          <w:rFonts w:eastAsiaTheme="minorEastAsia"/>
          <w:b/>
          <w:bCs/>
          <w:lang w:val="pl-PL"/>
        </w:rPr>
        <w:t>) shall be considered which including the following factors:</w:t>
      </w:r>
    </w:p>
    <w:p>
      <w:pPr>
        <w:pStyle w:val="27"/>
        <w:numPr>
          <w:ilvl w:val="2"/>
          <w:numId w:val="7"/>
        </w:numPr>
        <w:overflowPunct/>
        <w:autoSpaceDE/>
        <w:autoSpaceDN/>
        <w:adjustRightInd/>
        <w:spacing w:after="120" w:line="259" w:lineRule="auto"/>
        <w:ind w:firstLineChars="0"/>
        <w:textAlignment w:val="auto"/>
        <w:rPr>
          <w:rFonts w:eastAsiaTheme="minorEastAsia"/>
          <w:b/>
          <w:bCs/>
          <w:lang w:val="pl-PL"/>
        </w:rPr>
      </w:pPr>
      <w:r>
        <w:rPr>
          <w:rFonts w:eastAsiaTheme="minorEastAsia"/>
          <w:b/>
          <w:bCs/>
          <w:lang w:val="pl-PL"/>
        </w:rPr>
        <w:t>the delay uncertainty in acquiring the first available PRACH occasion in the PUCCH Scell(T</w:t>
      </w:r>
      <w:r>
        <w:rPr>
          <w:rFonts w:eastAsiaTheme="minorEastAsia"/>
          <w:b/>
          <w:bCs/>
          <w:vertAlign w:val="subscript"/>
          <w:lang w:val="pl-PL"/>
        </w:rPr>
        <w:t>1</w:t>
      </w:r>
      <w:r>
        <w:rPr>
          <w:rFonts w:eastAsiaTheme="minorEastAsia"/>
          <w:b/>
          <w:bCs/>
          <w:lang w:val="pl-PL"/>
        </w:rPr>
        <w:t>);</w:t>
      </w:r>
    </w:p>
    <w:p>
      <w:pPr>
        <w:pStyle w:val="27"/>
        <w:numPr>
          <w:ilvl w:val="2"/>
          <w:numId w:val="7"/>
        </w:numPr>
        <w:overflowPunct/>
        <w:autoSpaceDE/>
        <w:autoSpaceDN/>
        <w:adjustRightInd/>
        <w:spacing w:after="120" w:line="259" w:lineRule="auto"/>
        <w:ind w:firstLineChars="0"/>
        <w:textAlignment w:val="auto"/>
        <w:rPr>
          <w:rFonts w:eastAsiaTheme="minorEastAsia"/>
          <w:b/>
          <w:bCs/>
          <w:lang w:val="pl-PL"/>
        </w:rPr>
      </w:pPr>
      <w:r>
        <w:rPr>
          <w:rFonts w:eastAsiaTheme="minorEastAsia"/>
          <w:b/>
          <w:bCs/>
          <w:lang w:val="pl-PL"/>
        </w:rPr>
        <w:t>the delay for obtaining a valid TA command for the sTAG to which the Scell configured with PUCCH belongs(T</w:t>
      </w:r>
      <w:r>
        <w:rPr>
          <w:rFonts w:eastAsiaTheme="minorEastAsia"/>
          <w:b/>
          <w:bCs/>
          <w:vertAlign w:val="subscript"/>
          <w:lang w:val="pl-PL"/>
        </w:rPr>
        <w:t>2</w:t>
      </w:r>
      <w:r>
        <w:rPr>
          <w:rFonts w:eastAsiaTheme="minorEastAsia"/>
          <w:b/>
          <w:bCs/>
          <w:lang w:val="pl-PL"/>
        </w:rPr>
        <w:t>);</w:t>
      </w:r>
    </w:p>
    <w:p>
      <w:pPr>
        <w:pStyle w:val="27"/>
        <w:numPr>
          <w:ilvl w:val="2"/>
          <w:numId w:val="7"/>
        </w:numPr>
        <w:overflowPunct/>
        <w:autoSpaceDE/>
        <w:autoSpaceDN/>
        <w:adjustRightInd/>
        <w:spacing w:after="120" w:line="259" w:lineRule="auto"/>
        <w:ind w:firstLineChars="0"/>
        <w:textAlignment w:val="auto"/>
        <w:rPr>
          <w:rFonts w:eastAsiaTheme="minorEastAsia"/>
          <w:b/>
          <w:bCs/>
          <w:lang w:val="pl-PL"/>
        </w:rPr>
      </w:pPr>
      <w:r>
        <w:rPr>
          <w:rFonts w:eastAsiaTheme="minorEastAsia"/>
          <w:b/>
          <w:bCs/>
          <w:lang w:val="pl-PL"/>
        </w:rPr>
        <w:t>the delay for applying the received TA for uplink transmission(T</w:t>
      </w:r>
      <w:r>
        <w:rPr>
          <w:rFonts w:eastAsiaTheme="minorEastAsia"/>
          <w:b/>
          <w:bCs/>
          <w:vertAlign w:val="subscript"/>
          <w:lang w:val="pl-PL"/>
        </w:rPr>
        <w:t>3</w:t>
      </w:r>
      <w:r>
        <w:rPr>
          <w:rFonts w:eastAsiaTheme="minorEastAsia"/>
          <w:b/>
          <w:bCs/>
          <w:lang w:val="pl-PL"/>
        </w:rPr>
        <w:t>)</w:t>
      </w:r>
    </w:p>
    <w:p>
      <w:pPr>
        <w:jc w:val="both"/>
        <w:rPr>
          <w:rFonts w:hint="eastAsia"/>
          <w:b/>
          <w:bCs/>
          <w:sz w:val="21"/>
          <w:lang w:val="en-US" w:eastAsia="zh-CN"/>
        </w:rPr>
      </w:pPr>
      <w:r>
        <w:rPr>
          <w:b/>
          <w:bCs/>
          <w:sz w:val="21"/>
          <w:lang w:eastAsia="zh-CN"/>
        </w:rPr>
        <w:t xml:space="preserve">Proposal </w:t>
      </w:r>
      <w:r>
        <w:rPr>
          <w:rFonts w:hint="eastAsia"/>
          <w:b/>
          <w:bCs/>
          <w:sz w:val="21"/>
          <w:lang w:val="en-US" w:eastAsia="zh-CN"/>
        </w:rPr>
        <w:t>2</w:t>
      </w:r>
      <w:r>
        <w:rPr>
          <w:b/>
          <w:bCs/>
          <w:sz w:val="21"/>
          <w:lang w:eastAsia="zh-CN"/>
        </w:rPr>
        <w:t>:</w:t>
      </w:r>
      <w:r>
        <w:rPr>
          <w:rFonts w:hint="eastAsia"/>
          <w:b/>
          <w:bCs/>
          <w:sz w:val="21"/>
          <w:lang w:val="en-US" w:eastAsia="zh-CN"/>
        </w:rPr>
        <w:t xml:space="preserve"> </w:t>
      </w:r>
    </w:p>
    <w:p>
      <w:pPr>
        <w:numPr>
          <w:ilvl w:val="0"/>
          <w:numId w:val="8"/>
        </w:numPr>
        <w:ind w:left="420" w:leftChars="0" w:hanging="420" w:firstLineChars="0"/>
        <w:jc w:val="both"/>
        <w:rPr>
          <w:rFonts w:hint="eastAsia"/>
          <w:b/>
          <w:bCs/>
          <w:sz w:val="21"/>
          <w:lang w:val="en-US" w:eastAsia="zh-CN"/>
        </w:rPr>
      </w:pPr>
      <w:r>
        <w:rPr>
          <w:rFonts w:hint="eastAsia"/>
          <w:b/>
          <w:bCs/>
          <w:sz w:val="21"/>
          <w:lang w:val="pl-PL" w:eastAsia="zh-CN"/>
        </w:rPr>
        <w:t>T</w:t>
      </w:r>
      <w:r>
        <w:rPr>
          <w:rFonts w:hint="eastAsia"/>
          <w:b/>
          <w:bCs/>
          <w:sz w:val="21"/>
          <w:vertAlign w:val="subscript"/>
          <w:lang w:val="pl-PL" w:eastAsia="zh-CN"/>
        </w:rPr>
        <w:t>PDCCH</w:t>
      </w:r>
      <w:r>
        <w:rPr>
          <w:rFonts w:hint="eastAsia"/>
          <w:b/>
          <w:bCs/>
          <w:sz w:val="21"/>
          <w:lang w:val="pl-PL" w:eastAsia="zh-CN"/>
        </w:rPr>
        <w:t xml:space="preserve"> is </w:t>
      </w:r>
      <w:r>
        <w:rPr>
          <w:rFonts w:hint="eastAsia"/>
          <w:b/>
          <w:bCs/>
          <w:sz w:val="21"/>
          <w:lang w:val="en-US" w:eastAsia="zh-CN"/>
        </w:rPr>
        <w:t xml:space="preserve">not </w:t>
      </w:r>
      <w:r>
        <w:rPr>
          <w:rFonts w:hint="eastAsia"/>
          <w:b/>
          <w:bCs/>
          <w:sz w:val="21"/>
          <w:lang w:val="pl-PL" w:eastAsia="zh-CN"/>
        </w:rPr>
        <w:t xml:space="preserve">needed in </w:t>
      </w:r>
      <w:r>
        <w:rPr>
          <w:rFonts w:hint="eastAsia"/>
          <w:b/>
          <w:bCs/>
          <w:sz w:val="21"/>
          <w:lang w:val="sv-SE" w:eastAsia="zh-CN"/>
        </w:rPr>
        <w:t>the PUCCH SCell activation requirements for invalid TA case</w:t>
      </w:r>
      <w:r>
        <w:rPr>
          <w:rFonts w:hint="eastAsia"/>
          <w:b/>
          <w:bCs/>
          <w:sz w:val="21"/>
          <w:lang w:val="en-US" w:eastAsia="zh-CN"/>
        </w:rPr>
        <w:t>.</w:t>
      </w:r>
    </w:p>
    <w:p>
      <w:pPr>
        <w:numPr>
          <w:ilvl w:val="0"/>
          <w:numId w:val="8"/>
        </w:numPr>
        <w:ind w:left="420" w:leftChars="0" w:hanging="420" w:firstLineChars="0"/>
        <w:jc w:val="both"/>
        <w:rPr>
          <w:rFonts w:hint="eastAsia"/>
          <w:b/>
          <w:bCs/>
          <w:sz w:val="21"/>
          <w:lang w:val="sv-SE" w:eastAsia="zh-CN"/>
        </w:rPr>
      </w:pPr>
      <w:r>
        <w:rPr>
          <w:rFonts w:hint="eastAsia"/>
          <w:b/>
          <w:bCs/>
          <w:sz w:val="21"/>
          <w:lang w:val="sv-SE" w:eastAsia="zh-CN"/>
        </w:rPr>
        <w:t>T</w:t>
      </w:r>
      <w:r>
        <w:rPr>
          <w:rFonts w:hint="eastAsia"/>
          <w:b/>
          <w:bCs/>
          <w:sz w:val="21"/>
          <w:vertAlign w:val="subscript"/>
          <w:lang w:val="sv-SE" w:eastAsia="zh-CN"/>
        </w:rPr>
        <w:t>CSI_reporting</w:t>
      </w:r>
      <w:r>
        <w:rPr>
          <w:rFonts w:hint="eastAsia"/>
          <w:b/>
          <w:bCs/>
          <w:sz w:val="21"/>
          <w:lang w:val="pl-PL" w:eastAsia="zh-CN"/>
        </w:rPr>
        <w:t xml:space="preserve"> is needed</w:t>
      </w:r>
      <w:r>
        <w:rPr>
          <w:rFonts w:hint="eastAsia"/>
          <w:b/>
          <w:bCs/>
          <w:sz w:val="21"/>
          <w:lang w:val="sv-SE" w:eastAsia="zh-CN"/>
        </w:rPr>
        <w:t xml:space="preserve"> in the PUCCH SCell activation requirements for invalid TA case. </w:t>
      </w:r>
    </w:p>
    <w:p>
      <w:pPr>
        <w:jc w:val="both"/>
        <w:rPr>
          <w:b/>
          <w:bCs/>
          <w:sz w:val="21"/>
          <w:lang w:eastAsia="zh-CN"/>
        </w:rPr>
      </w:pPr>
    </w:p>
    <w:p>
      <w:pPr>
        <w:jc w:val="both"/>
        <w:rPr>
          <w:rFonts w:hint="eastAsia"/>
          <w:b/>
          <w:bCs/>
          <w:sz w:val="21"/>
          <w:lang w:val="en-US" w:eastAsia="zh-CN"/>
        </w:rPr>
      </w:pPr>
      <w:r>
        <w:rPr>
          <w:b/>
          <w:bCs/>
          <w:sz w:val="21"/>
          <w:lang w:eastAsia="zh-CN"/>
        </w:rPr>
        <w:t>Proposal</w:t>
      </w:r>
      <w:r>
        <w:rPr>
          <w:rFonts w:hint="eastAsia"/>
          <w:b/>
          <w:bCs/>
          <w:sz w:val="21"/>
          <w:lang w:val="en-US" w:eastAsia="zh-CN"/>
        </w:rPr>
        <w:t xml:space="preserve"> 3</w:t>
      </w:r>
      <w:r>
        <w:rPr>
          <w:b/>
          <w:bCs/>
          <w:sz w:val="21"/>
          <w:lang w:eastAsia="zh-CN"/>
        </w:rPr>
        <w:t>:</w:t>
      </w:r>
      <w:r>
        <w:rPr>
          <w:rFonts w:hint="eastAsia"/>
          <w:b/>
          <w:bCs/>
          <w:sz w:val="21"/>
          <w:lang w:val="en-US" w:eastAsia="zh-CN"/>
        </w:rPr>
        <w:t xml:space="preserve"> Take option 2 in WF[1]. </w:t>
      </w:r>
    </w:p>
    <w:p>
      <w:pPr>
        <w:pStyle w:val="27"/>
        <w:numPr>
          <w:ilvl w:val="1"/>
          <w:numId w:val="7"/>
        </w:numPr>
        <w:overflowPunct/>
        <w:autoSpaceDE/>
        <w:autoSpaceDN/>
        <w:adjustRightInd/>
        <w:spacing w:after="0" w:line="259" w:lineRule="auto"/>
        <w:ind w:firstLineChars="0"/>
        <w:textAlignment w:val="auto"/>
        <w:rPr>
          <w:rFonts w:eastAsiaTheme="minorEastAsia"/>
          <w:b/>
          <w:bCs/>
          <w:szCs w:val="16"/>
          <w:lang w:val="pl-PL"/>
        </w:rPr>
      </w:pPr>
      <w:r>
        <w:rPr>
          <w:b/>
          <w:bCs/>
          <w:szCs w:val="16"/>
          <w:lang w:val="en-US" w:eastAsia="ja-JP"/>
        </w:rPr>
        <w:t>T</w:t>
      </w:r>
      <w:r>
        <w:rPr>
          <w:b/>
          <w:bCs/>
          <w:szCs w:val="16"/>
          <w:vertAlign w:val="subscript"/>
          <w:lang w:val="en-US" w:eastAsia="ja-JP"/>
        </w:rPr>
        <w:t>2</w:t>
      </w:r>
      <w:r>
        <w:rPr>
          <w:b/>
          <w:bCs/>
          <w:szCs w:val="16"/>
          <w:lang w:val="en-US" w:eastAsia="ja-JP"/>
        </w:rPr>
        <w:t xml:space="preserve"> is the delay from slot n + (T</w:t>
      </w:r>
      <w:r>
        <w:rPr>
          <w:b/>
          <w:bCs/>
          <w:szCs w:val="16"/>
          <w:vertAlign w:val="subscript"/>
          <w:lang w:val="en-US" w:eastAsia="ja-JP"/>
        </w:rPr>
        <w:t>HARQ</w:t>
      </w:r>
      <w:r>
        <w:rPr>
          <w:b/>
          <w:bCs/>
          <w:szCs w:val="16"/>
          <w:lang w:val="en-US" w:eastAsia="ja-JP"/>
        </w:rPr>
        <w:t xml:space="preserve"> + T</w:t>
      </w:r>
      <w:r>
        <w:rPr>
          <w:b/>
          <w:bCs/>
          <w:szCs w:val="16"/>
          <w:vertAlign w:val="subscript"/>
          <w:lang w:val="en-US" w:eastAsia="ja-JP"/>
        </w:rPr>
        <w:t xml:space="preserve">activatation_time </w:t>
      </w:r>
      <w:r>
        <w:rPr>
          <w:b/>
          <w:bCs/>
          <w:szCs w:val="16"/>
          <w:lang w:val="en-US" w:eastAsia="ja-JP"/>
        </w:rPr>
        <w:t>+T</w:t>
      </w:r>
      <w:r>
        <w:rPr>
          <w:b/>
          <w:bCs/>
          <w:szCs w:val="16"/>
          <w:vertAlign w:val="subscript"/>
          <w:lang w:val="en-US" w:eastAsia="ja-JP"/>
        </w:rPr>
        <w:t>1</w:t>
      </w:r>
      <w:r>
        <w:rPr>
          <w:b/>
          <w:bCs/>
          <w:szCs w:val="16"/>
          <w:lang w:val="en-US" w:eastAsia="ja-JP"/>
        </w:rPr>
        <w:t>)/NR slot length until UE has obtained a valid TA command for the target PUCCH Scell being activated. T</w:t>
      </w:r>
      <w:r>
        <w:rPr>
          <w:b/>
          <w:bCs/>
          <w:szCs w:val="16"/>
          <w:vertAlign w:val="subscript"/>
          <w:lang w:val="en-US" w:eastAsia="ja-JP"/>
        </w:rPr>
        <w:t xml:space="preserve">activatation_time </w:t>
      </w:r>
      <w:r>
        <w:rPr>
          <w:b/>
          <w:bCs/>
          <w:szCs w:val="16"/>
          <w:lang w:val="en-US" w:eastAsia="ja-JP"/>
        </w:rPr>
        <w:t>is defined in TS38.133 section 8.3.2. slot n is the slot when UE received PUCCH Scell activation MAC CE</w:t>
      </w:r>
      <w:r>
        <w:rPr>
          <w:b/>
          <w:bCs/>
          <w:szCs w:val="16"/>
          <w:lang w:val="en-US" w:eastAsia="zh-CN"/>
        </w:rPr>
        <w:t>.</w:t>
      </w:r>
    </w:p>
    <w:p>
      <w:pPr>
        <w:overflowPunct w:val="0"/>
        <w:autoSpaceDE w:val="0"/>
        <w:autoSpaceDN w:val="0"/>
        <w:adjustRightInd w:val="0"/>
        <w:spacing w:after="120"/>
        <w:textAlignment w:val="baseline"/>
        <w:rPr>
          <w:rFonts w:hint="default" w:eastAsia="Yu Mincho"/>
          <w:bCs/>
          <w:iCs/>
          <w:vertAlign w:val="baseline"/>
          <w:lang w:val="en-US" w:eastAsia="zh-CN"/>
        </w:rPr>
      </w:pPr>
    </w:p>
    <w:p>
      <w:pPr>
        <w:rPr>
          <w:rFonts w:hint="eastAsia"/>
          <w:b/>
          <w:bCs/>
          <w:sz w:val="20"/>
          <w:szCs w:val="15"/>
          <w:lang w:val="en-US" w:eastAsia="zh-CN"/>
        </w:rPr>
      </w:pPr>
    </w:p>
    <w:p>
      <w:pPr>
        <w:pStyle w:val="29"/>
        <w:jc w:val="both"/>
      </w:pPr>
      <w:r>
        <w:t>References</w:t>
      </w:r>
    </w:p>
    <w:p>
      <w:pPr>
        <w:numPr>
          <w:ilvl w:val="0"/>
          <w:numId w:val="9"/>
        </w:numPr>
        <w:overflowPunct w:val="0"/>
        <w:autoSpaceDE w:val="0"/>
        <w:autoSpaceDN w:val="0"/>
        <w:adjustRightInd w:val="0"/>
        <w:spacing w:after="120" w:line="240" w:lineRule="auto"/>
        <w:jc w:val="both"/>
        <w:textAlignment w:val="baseline"/>
        <w:rPr>
          <w:rFonts w:hint="eastAsia" w:eastAsia="宋体"/>
          <w:lang w:eastAsia="zh-CN"/>
        </w:rPr>
      </w:pPr>
      <w:r>
        <w:rPr>
          <w:rFonts w:hint="eastAsia" w:eastAsia="宋体"/>
          <w:lang w:val="en-US" w:eastAsia="zh-CN"/>
        </w:rPr>
        <w:t>R4-2120299,WF on further RRM enhancement for NR and MR-DC - PUCCH SCell activation/deactivation requirements，CATT</w:t>
      </w:r>
    </w:p>
    <w:p>
      <w:pPr>
        <w:numPr>
          <w:ilvl w:val="0"/>
          <w:numId w:val="0"/>
        </w:numPr>
        <w:overflowPunct w:val="0"/>
        <w:autoSpaceDE w:val="0"/>
        <w:autoSpaceDN w:val="0"/>
        <w:adjustRightInd w:val="0"/>
        <w:spacing w:after="120" w:line="240" w:lineRule="auto"/>
        <w:ind w:leftChars="0"/>
        <w:jc w:val="both"/>
        <w:textAlignment w:val="baseline"/>
        <w:rPr>
          <w:rFonts w:hint="eastAsia"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p>
      <w:pPr>
        <w:numPr>
          <w:ilvl w:val="0"/>
          <w:numId w:val="0"/>
        </w:numPr>
        <w:overflowPunct w:val="0"/>
        <w:autoSpaceDE w:val="0"/>
        <w:autoSpaceDN w:val="0"/>
        <w:adjustRightInd w:val="0"/>
        <w:spacing w:after="120" w:line="240" w:lineRule="auto"/>
        <w:ind w:leftChars="0"/>
        <w:jc w:val="both"/>
        <w:textAlignment w:val="baseline"/>
        <w:rPr>
          <w:rFonts w:eastAsia="宋体"/>
          <w:lang w:eastAsia="zh-CN"/>
        </w:rPr>
      </w:pPr>
    </w:p>
    <w:sectPr>
      <w:pgSz w:w="11907" w:h="16840"/>
      <w:pgMar w:top="1412" w:right="1140" w:bottom="1140" w:left="1140" w:header="680" w:footer="567" w:gutter="0"/>
      <w:pgBorders>
        <w:top w:val="none" w:sz="0" w:space="0"/>
        <w:left w:val="none" w:sz="0" w:space="0"/>
        <w:bottom w:val="none" w:sz="0" w:space="0"/>
        <w:right w:val="none" w:sz="0" w:space="0"/>
      </w:pgBorders>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EAE849"/>
    <w:multiLevelType w:val="singleLevel"/>
    <w:tmpl w:val="9CEAE849"/>
    <w:lvl w:ilvl="0" w:tentative="0">
      <w:start w:val="2"/>
      <w:numFmt w:val="decimal"/>
      <w:lvlText w:val="%1"/>
      <w:lvlJc w:val="left"/>
    </w:lvl>
  </w:abstractNum>
  <w:abstractNum w:abstractNumId="1">
    <w:nsid w:val="D431EBD7"/>
    <w:multiLevelType w:val="singleLevel"/>
    <w:tmpl w:val="D431EBD7"/>
    <w:lvl w:ilvl="0" w:tentative="0">
      <w:start w:val="1"/>
      <w:numFmt w:val="bullet"/>
      <w:lvlText w:val=""/>
      <w:lvlJc w:val="left"/>
      <w:pPr>
        <w:ind w:left="420" w:hanging="420"/>
      </w:pPr>
      <w:rPr>
        <w:rFonts w:hint="default" w:ascii="Wingdings" w:hAnsi="Wingdings"/>
      </w:rPr>
    </w:lvl>
  </w:abstractNum>
  <w:abstractNum w:abstractNumId="2">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6B43B9D"/>
    <w:multiLevelType w:val="multilevel"/>
    <w:tmpl w:val="46B43B9D"/>
    <w:lvl w:ilvl="0" w:tentative="0">
      <w:start w:val="1"/>
      <w:numFmt w:val="decimal"/>
      <w:pStyle w:val="31"/>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7"/>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3"/>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70146DC0"/>
    <w:multiLevelType w:val="multilevel"/>
    <w:tmpl w:val="70146DC0"/>
    <w:lvl w:ilvl="0" w:tentative="0">
      <w:start w:val="1"/>
      <w:numFmt w:val="bullet"/>
      <w:pStyle w:val="4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3"/>
  </w:num>
  <w:num w:numId="2">
    <w:abstractNumId w:val="5"/>
  </w:num>
  <w:num w:numId="3">
    <w:abstractNumId w:val="4"/>
  </w:num>
  <w:num w:numId="4">
    <w:abstractNumId w:val="8"/>
  </w:num>
  <w:num w:numId="5">
    <w:abstractNumId w:val="6"/>
  </w:num>
  <w:num w:numId="6">
    <w:abstractNumId w:val="0"/>
  </w:num>
  <w:num w:numId="7">
    <w:abstractNumId w:val="7"/>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C9B"/>
    <w:rsid w:val="00024821"/>
    <w:rsid w:val="00075081"/>
    <w:rsid w:val="0008612A"/>
    <w:rsid w:val="000A5622"/>
    <w:rsid w:val="000B0056"/>
    <w:rsid w:val="000B615D"/>
    <w:rsid w:val="000D3E70"/>
    <w:rsid w:val="000D5C4C"/>
    <w:rsid w:val="000D6D48"/>
    <w:rsid w:val="0010054A"/>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A7FAB"/>
    <w:rsid w:val="001B2870"/>
    <w:rsid w:val="001D54CB"/>
    <w:rsid w:val="001E30F6"/>
    <w:rsid w:val="001F364B"/>
    <w:rsid w:val="001F400C"/>
    <w:rsid w:val="00200081"/>
    <w:rsid w:val="002051FF"/>
    <w:rsid w:val="00206975"/>
    <w:rsid w:val="002079EF"/>
    <w:rsid w:val="002154C0"/>
    <w:rsid w:val="00224AD2"/>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2CC9"/>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379AB"/>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1278"/>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36877"/>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1C63D2"/>
    <w:rsid w:val="01290358"/>
    <w:rsid w:val="014D65AB"/>
    <w:rsid w:val="016E368C"/>
    <w:rsid w:val="017B5E4B"/>
    <w:rsid w:val="018D054D"/>
    <w:rsid w:val="01D71285"/>
    <w:rsid w:val="01FF08B3"/>
    <w:rsid w:val="023B3319"/>
    <w:rsid w:val="024073B2"/>
    <w:rsid w:val="026A5D79"/>
    <w:rsid w:val="027E1394"/>
    <w:rsid w:val="0284242C"/>
    <w:rsid w:val="028676F2"/>
    <w:rsid w:val="0295566B"/>
    <w:rsid w:val="02A340AE"/>
    <w:rsid w:val="02AF305D"/>
    <w:rsid w:val="02B274E2"/>
    <w:rsid w:val="02BD7990"/>
    <w:rsid w:val="02C25D33"/>
    <w:rsid w:val="030809EC"/>
    <w:rsid w:val="03394FFB"/>
    <w:rsid w:val="037B11F1"/>
    <w:rsid w:val="039A1BDA"/>
    <w:rsid w:val="03AE4991"/>
    <w:rsid w:val="03C6506D"/>
    <w:rsid w:val="03F37217"/>
    <w:rsid w:val="04143A32"/>
    <w:rsid w:val="041F4676"/>
    <w:rsid w:val="04503821"/>
    <w:rsid w:val="045B08B5"/>
    <w:rsid w:val="047B40B2"/>
    <w:rsid w:val="0492565C"/>
    <w:rsid w:val="04A56073"/>
    <w:rsid w:val="04C77D0A"/>
    <w:rsid w:val="04D5204C"/>
    <w:rsid w:val="051F0641"/>
    <w:rsid w:val="05733706"/>
    <w:rsid w:val="059B61E4"/>
    <w:rsid w:val="05A86143"/>
    <w:rsid w:val="05AC7AEC"/>
    <w:rsid w:val="05D34D59"/>
    <w:rsid w:val="05D42FA6"/>
    <w:rsid w:val="06105DAC"/>
    <w:rsid w:val="066957D5"/>
    <w:rsid w:val="068A29F7"/>
    <w:rsid w:val="069766CC"/>
    <w:rsid w:val="07250AD8"/>
    <w:rsid w:val="07502CA2"/>
    <w:rsid w:val="078B76F8"/>
    <w:rsid w:val="079D410C"/>
    <w:rsid w:val="07C5787A"/>
    <w:rsid w:val="07C928A9"/>
    <w:rsid w:val="07D3429D"/>
    <w:rsid w:val="07D735D1"/>
    <w:rsid w:val="07E9174F"/>
    <w:rsid w:val="07F43B3B"/>
    <w:rsid w:val="080A5373"/>
    <w:rsid w:val="085564A9"/>
    <w:rsid w:val="08631FF0"/>
    <w:rsid w:val="08641205"/>
    <w:rsid w:val="0868025F"/>
    <w:rsid w:val="0873226E"/>
    <w:rsid w:val="088E5343"/>
    <w:rsid w:val="08935729"/>
    <w:rsid w:val="08936C0D"/>
    <w:rsid w:val="08A83C27"/>
    <w:rsid w:val="08AF3F5E"/>
    <w:rsid w:val="08C654D4"/>
    <w:rsid w:val="08CC5D10"/>
    <w:rsid w:val="08DC0169"/>
    <w:rsid w:val="092C45E6"/>
    <w:rsid w:val="093220E8"/>
    <w:rsid w:val="099F556C"/>
    <w:rsid w:val="09AC0546"/>
    <w:rsid w:val="09C640C3"/>
    <w:rsid w:val="09D362E0"/>
    <w:rsid w:val="0A202869"/>
    <w:rsid w:val="0A2F63A3"/>
    <w:rsid w:val="0A5763D4"/>
    <w:rsid w:val="0A623873"/>
    <w:rsid w:val="0A7BF868"/>
    <w:rsid w:val="0A9573F8"/>
    <w:rsid w:val="0B206A21"/>
    <w:rsid w:val="0B6C6F78"/>
    <w:rsid w:val="0B7322DC"/>
    <w:rsid w:val="0B7600BE"/>
    <w:rsid w:val="0B84721F"/>
    <w:rsid w:val="0BA7588D"/>
    <w:rsid w:val="0BB77882"/>
    <w:rsid w:val="0BC65E45"/>
    <w:rsid w:val="0C102F73"/>
    <w:rsid w:val="0C2A1653"/>
    <w:rsid w:val="0C3145B0"/>
    <w:rsid w:val="0C3C5307"/>
    <w:rsid w:val="0C56263C"/>
    <w:rsid w:val="0C5C2399"/>
    <w:rsid w:val="0C5E2B8A"/>
    <w:rsid w:val="0CB37D5E"/>
    <w:rsid w:val="0CF62A01"/>
    <w:rsid w:val="0D102274"/>
    <w:rsid w:val="0D69107B"/>
    <w:rsid w:val="0D796541"/>
    <w:rsid w:val="0D9F7C29"/>
    <w:rsid w:val="0DA958CA"/>
    <w:rsid w:val="0DF104D3"/>
    <w:rsid w:val="0E1576FD"/>
    <w:rsid w:val="0E1C586B"/>
    <w:rsid w:val="0E5E051C"/>
    <w:rsid w:val="0E84113B"/>
    <w:rsid w:val="0E8A024B"/>
    <w:rsid w:val="0EAC77C9"/>
    <w:rsid w:val="0ED138E6"/>
    <w:rsid w:val="0EDA22A0"/>
    <w:rsid w:val="0F130B06"/>
    <w:rsid w:val="0F3856C4"/>
    <w:rsid w:val="0F495218"/>
    <w:rsid w:val="0F4C5F28"/>
    <w:rsid w:val="0F4D7364"/>
    <w:rsid w:val="0F5003A5"/>
    <w:rsid w:val="0F67780F"/>
    <w:rsid w:val="0F8F3C2A"/>
    <w:rsid w:val="0F9F5663"/>
    <w:rsid w:val="0FB648CB"/>
    <w:rsid w:val="0FB96E76"/>
    <w:rsid w:val="0FD0731A"/>
    <w:rsid w:val="0FF1533A"/>
    <w:rsid w:val="0FFE0AFA"/>
    <w:rsid w:val="1000683B"/>
    <w:rsid w:val="100525AD"/>
    <w:rsid w:val="101213A0"/>
    <w:rsid w:val="10344905"/>
    <w:rsid w:val="10656E2F"/>
    <w:rsid w:val="10732202"/>
    <w:rsid w:val="10860ED5"/>
    <w:rsid w:val="108F17DE"/>
    <w:rsid w:val="10AA3C13"/>
    <w:rsid w:val="10CA41CF"/>
    <w:rsid w:val="10CD0B75"/>
    <w:rsid w:val="10D43D83"/>
    <w:rsid w:val="110C4D24"/>
    <w:rsid w:val="11283655"/>
    <w:rsid w:val="113B0066"/>
    <w:rsid w:val="114A4434"/>
    <w:rsid w:val="115D458E"/>
    <w:rsid w:val="11650D79"/>
    <w:rsid w:val="1187598B"/>
    <w:rsid w:val="11A46722"/>
    <w:rsid w:val="11CA3B79"/>
    <w:rsid w:val="11F71F3A"/>
    <w:rsid w:val="12021254"/>
    <w:rsid w:val="12062D53"/>
    <w:rsid w:val="121A2A50"/>
    <w:rsid w:val="122017FC"/>
    <w:rsid w:val="122047A4"/>
    <w:rsid w:val="12432F43"/>
    <w:rsid w:val="124B5A34"/>
    <w:rsid w:val="12753179"/>
    <w:rsid w:val="128409CA"/>
    <w:rsid w:val="12843280"/>
    <w:rsid w:val="12BB3A94"/>
    <w:rsid w:val="12EF585C"/>
    <w:rsid w:val="12FB3877"/>
    <w:rsid w:val="13027CC3"/>
    <w:rsid w:val="13262572"/>
    <w:rsid w:val="13516C3B"/>
    <w:rsid w:val="135A35EB"/>
    <w:rsid w:val="135B714A"/>
    <w:rsid w:val="136D11EC"/>
    <w:rsid w:val="137D50D6"/>
    <w:rsid w:val="138845FC"/>
    <w:rsid w:val="139B3B65"/>
    <w:rsid w:val="13A62830"/>
    <w:rsid w:val="13AE3752"/>
    <w:rsid w:val="13D36053"/>
    <w:rsid w:val="13F75352"/>
    <w:rsid w:val="13FA5349"/>
    <w:rsid w:val="141E7377"/>
    <w:rsid w:val="142413B8"/>
    <w:rsid w:val="1427772F"/>
    <w:rsid w:val="1480544B"/>
    <w:rsid w:val="148A292B"/>
    <w:rsid w:val="14922769"/>
    <w:rsid w:val="14A25B1A"/>
    <w:rsid w:val="14B36B91"/>
    <w:rsid w:val="14BF6AA8"/>
    <w:rsid w:val="14C960C2"/>
    <w:rsid w:val="14D9405F"/>
    <w:rsid w:val="14DE3D1B"/>
    <w:rsid w:val="14F65349"/>
    <w:rsid w:val="14FA21D5"/>
    <w:rsid w:val="150D5858"/>
    <w:rsid w:val="1590041A"/>
    <w:rsid w:val="15DD3861"/>
    <w:rsid w:val="15EF1E61"/>
    <w:rsid w:val="16222725"/>
    <w:rsid w:val="162900B5"/>
    <w:rsid w:val="1634239A"/>
    <w:rsid w:val="16394032"/>
    <w:rsid w:val="164F667E"/>
    <w:rsid w:val="165D0583"/>
    <w:rsid w:val="16654289"/>
    <w:rsid w:val="16AE4BFB"/>
    <w:rsid w:val="16BA6C12"/>
    <w:rsid w:val="16CB37AF"/>
    <w:rsid w:val="16DB79C9"/>
    <w:rsid w:val="16E93B5B"/>
    <w:rsid w:val="16EA20E7"/>
    <w:rsid w:val="16F55CC6"/>
    <w:rsid w:val="17141F2D"/>
    <w:rsid w:val="176F5C05"/>
    <w:rsid w:val="17705930"/>
    <w:rsid w:val="17A076C4"/>
    <w:rsid w:val="17A62BCE"/>
    <w:rsid w:val="17AC57E6"/>
    <w:rsid w:val="17E12498"/>
    <w:rsid w:val="17E826AB"/>
    <w:rsid w:val="17F275CB"/>
    <w:rsid w:val="18194F39"/>
    <w:rsid w:val="18312DD6"/>
    <w:rsid w:val="18407C50"/>
    <w:rsid w:val="184B7EE3"/>
    <w:rsid w:val="1872258F"/>
    <w:rsid w:val="18AC3E03"/>
    <w:rsid w:val="18D3414F"/>
    <w:rsid w:val="18D91924"/>
    <w:rsid w:val="19831412"/>
    <w:rsid w:val="19A96435"/>
    <w:rsid w:val="19B1247D"/>
    <w:rsid w:val="19E43A3D"/>
    <w:rsid w:val="19EF476F"/>
    <w:rsid w:val="1A0B3A21"/>
    <w:rsid w:val="1A290039"/>
    <w:rsid w:val="1A352FE3"/>
    <w:rsid w:val="1A7F0493"/>
    <w:rsid w:val="1ABF3A0B"/>
    <w:rsid w:val="1AC158B0"/>
    <w:rsid w:val="1AE7689F"/>
    <w:rsid w:val="1AEE5502"/>
    <w:rsid w:val="1B3329B5"/>
    <w:rsid w:val="1B595D85"/>
    <w:rsid w:val="1B6C7858"/>
    <w:rsid w:val="1B7F155B"/>
    <w:rsid w:val="1BAE2A00"/>
    <w:rsid w:val="1BB6627C"/>
    <w:rsid w:val="1BF056DA"/>
    <w:rsid w:val="1C1B0DC7"/>
    <w:rsid w:val="1C47693C"/>
    <w:rsid w:val="1C5E2CC4"/>
    <w:rsid w:val="1C5E2F54"/>
    <w:rsid w:val="1CA0799D"/>
    <w:rsid w:val="1CAE294B"/>
    <w:rsid w:val="1CDA242C"/>
    <w:rsid w:val="1CF73247"/>
    <w:rsid w:val="1CF75BF5"/>
    <w:rsid w:val="1CFB2AC1"/>
    <w:rsid w:val="1D1F1294"/>
    <w:rsid w:val="1D3600B7"/>
    <w:rsid w:val="1D3C7064"/>
    <w:rsid w:val="1D6224B5"/>
    <w:rsid w:val="1D85535E"/>
    <w:rsid w:val="1D955667"/>
    <w:rsid w:val="1DB227A6"/>
    <w:rsid w:val="1DB41841"/>
    <w:rsid w:val="1DCF39D2"/>
    <w:rsid w:val="1DE45821"/>
    <w:rsid w:val="1DF005DE"/>
    <w:rsid w:val="1DF64986"/>
    <w:rsid w:val="1E5E1170"/>
    <w:rsid w:val="1E687F6B"/>
    <w:rsid w:val="1E8806BC"/>
    <w:rsid w:val="1EA137E3"/>
    <w:rsid w:val="1EC97F44"/>
    <w:rsid w:val="1F0936F5"/>
    <w:rsid w:val="1F0D6CF5"/>
    <w:rsid w:val="1F17474D"/>
    <w:rsid w:val="1F2B10F9"/>
    <w:rsid w:val="1F606B52"/>
    <w:rsid w:val="1F711839"/>
    <w:rsid w:val="1F8429C2"/>
    <w:rsid w:val="1F8A172B"/>
    <w:rsid w:val="1F9A548F"/>
    <w:rsid w:val="1FA564C4"/>
    <w:rsid w:val="1FB811AE"/>
    <w:rsid w:val="1FDC0E64"/>
    <w:rsid w:val="1FE94550"/>
    <w:rsid w:val="200D067C"/>
    <w:rsid w:val="20811B82"/>
    <w:rsid w:val="2081439A"/>
    <w:rsid w:val="208D29F6"/>
    <w:rsid w:val="20941E02"/>
    <w:rsid w:val="20A662B2"/>
    <w:rsid w:val="20BE61DB"/>
    <w:rsid w:val="21091739"/>
    <w:rsid w:val="211451D0"/>
    <w:rsid w:val="211B0B99"/>
    <w:rsid w:val="21402B64"/>
    <w:rsid w:val="2151075A"/>
    <w:rsid w:val="2187422D"/>
    <w:rsid w:val="219E74A3"/>
    <w:rsid w:val="22271C95"/>
    <w:rsid w:val="22450C21"/>
    <w:rsid w:val="22571B82"/>
    <w:rsid w:val="22587625"/>
    <w:rsid w:val="22843CEF"/>
    <w:rsid w:val="22915C95"/>
    <w:rsid w:val="22920D1D"/>
    <w:rsid w:val="22951FAB"/>
    <w:rsid w:val="22C0245E"/>
    <w:rsid w:val="22C9451A"/>
    <w:rsid w:val="22D22A99"/>
    <w:rsid w:val="22DE4E2D"/>
    <w:rsid w:val="22DF0545"/>
    <w:rsid w:val="23514077"/>
    <w:rsid w:val="23855295"/>
    <w:rsid w:val="23B20773"/>
    <w:rsid w:val="23CF6D67"/>
    <w:rsid w:val="23E92C0B"/>
    <w:rsid w:val="241F6375"/>
    <w:rsid w:val="248F188B"/>
    <w:rsid w:val="24BD0518"/>
    <w:rsid w:val="24E91488"/>
    <w:rsid w:val="25077EC5"/>
    <w:rsid w:val="255233C2"/>
    <w:rsid w:val="256A021C"/>
    <w:rsid w:val="25962669"/>
    <w:rsid w:val="25C20278"/>
    <w:rsid w:val="25C545AD"/>
    <w:rsid w:val="262D62D9"/>
    <w:rsid w:val="26381808"/>
    <w:rsid w:val="26681CAB"/>
    <w:rsid w:val="267E5FCE"/>
    <w:rsid w:val="26895E91"/>
    <w:rsid w:val="26F16893"/>
    <w:rsid w:val="26F618C3"/>
    <w:rsid w:val="27016D1C"/>
    <w:rsid w:val="27104213"/>
    <w:rsid w:val="27572E0B"/>
    <w:rsid w:val="2762235C"/>
    <w:rsid w:val="276537E8"/>
    <w:rsid w:val="276D7CAD"/>
    <w:rsid w:val="27BE3159"/>
    <w:rsid w:val="27F111B3"/>
    <w:rsid w:val="27F55CE9"/>
    <w:rsid w:val="27F77172"/>
    <w:rsid w:val="28062AB3"/>
    <w:rsid w:val="280C272A"/>
    <w:rsid w:val="281B6C69"/>
    <w:rsid w:val="284E33F7"/>
    <w:rsid w:val="28596ECF"/>
    <w:rsid w:val="28694AA6"/>
    <w:rsid w:val="287A3770"/>
    <w:rsid w:val="2896156C"/>
    <w:rsid w:val="28A01911"/>
    <w:rsid w:val="28B52EA9"/>
    <w:rsid w:val="28C759BF"/>
    <w:rsid w:val="28D22F4D"/>
    <w:rsid w:val="29007BBA"/>
    <w:rsid w:val="290A138C"/>
    <w:rsid w:val="291A4010"/>
    <w:rsid w:val="291B0D01"/>
    <w:rsid w:val="293606FA"/>
    <w:rsid w:val="29517179"/>
    <w:rsid w:val="29582436"/>
    <w:rsid w:val="299935DB"/>
    <w:rsid w:val="29E7086A"/>
    <w:rsid w:val="2A0E25C0"/>
    <w:rsid w:val="2A1219AD"/>
    <w:rsid w:val="2A2024BB"/>
    <w:rsid w:val="2A394321"/>
    <w:rsid w:val="2AAF72F6"/>
    <w:rsid w:val="2AE07176"/>
    <w:rsid w:val="2AE26D3F"/>
    <w:rsid w:val="2AF125AB"/>
    <w:rsid w:val="2AF80F96"/>
    <w:rsid w:val="2AF8774D"/>
    <w:rsid w:val="2AFC0752"/>
    <w:rsid w:val="2B0233C2"/>
    <w:rsid w:val="2B0F6E62"/>
    <w:rsid w:val="2B1B7C39"/>
    <w:rsid w:val="2B3F4136"/>
    <w:rsid w:val="2B5F7B9D"/>
    <w:rsid w:val="2B6F3DB4"/>
    <w:rsid w:val="2B723B80"/>
    <w:rsid w:val="2B7579C5"/>
    <w:rsid w:val="2B976640"/>
    <w:rsid w:val="2BB04900"/>
    <w:rsid w:val="2BB1476B"/>
    <w:rsid w:val="2BBA73E9"/>
    <w:rsid w:val="2BFE37F5"/>
    <w:rsid w:val="2C127486"/>
    <w:rsid w:val="2C1B2490"/>
    <w:rsid w:val="2C2841AD"/>
    <w:rsid w:val="2C3757DB"/>
    <w:rsid w:val="2C3A3275"/>
    <w:rsid w:val="2C495744"/>
    <w:rsid w:val="2C4F5D11"/>
    <w:rsid w:val="2C696B32"/>
    <w:rsid w:val="2CA40E82"/>
    <w:rsid w:val="2CC440BD"/>
    <w:rsid w:val="2CEE6B8D"/>
    <w:rsid w:val="2D233DAE"/>
    <w:rsid w:val="2D8E403A"/>
    <w:rsid w:val="2DC51DB6"/>
    <w:rsid w:val="2DE6749D"/>
    <w:rsid w:val="2DF9626C"/>
    <w:rsid w:val="2DFD7A78"/>
    <w:rsid w:val="2DFF21A9"/>
    <w:rsid w:val="2E145F76"/>
    <w:rsid w:val="2E290BCC"/>
    <w:rsid w:val="2E3E3E00"/>
    <w:rsid w:val="2E8501BE"/>
    <w:rsid w:val="2EA73673"/>
    <w:rsid w:val="2EA86D09"/>
    <w:rsid w:val="2ECE747D"/>
    <w:rsid w:val="2EDE6622"/>
    <w:rsid w:val="2EDF0237"/>
    <w:rsid w:val="2EFD78DE"/>
    <w:rsid w:val="2F32226B"/>
    <w:rsid w:val="2F376D10"/>
    <w:rsid w:val="2F507B33"/>
    <w:rsid w:val="2FA231C5"/>
    <w:rsid w:val="30131B0F"/>
    <w:rsid w:val="301A7503"/>
    <w:rsid w:val="30266CFB"/>
    <w:rsid w:val="30775A8C"/>
    <w:rsid w:val="308B65F2"/>
    <w:rsid w:val="30A9337F"/>
    <w:rsid w:val="30F5782F"/>
    <w:rsid w:val="30F66636"/>
    <w:rsid w:val="3117229F"/>
    <w:rsid w:val="31395268"/>
    <w:rsid w:val="316D08AD"/>
    <w:rsid w:val="31703761"/>
    <w:rsid w:val="318526EA"/>
    <w:rsid w:val="3197247E"/>
    <w:rsid w:val="31A14F37"/>
    <w:rsid w:val="31A50177"/>
    <w:rsid w:val="31BC7893"/>
    <w:rsid w:val="31DD775A"/>
    <w:rsid w:val="31ED10C9"/>
    <w:rsid w:val="320F0A18"/>
    <w:rsid w:val="32351CB2"/>
    <w:rsid w:val="324554E5"/>
    <w:rsid w:val="325D2B5A"/>
    <w:rsid w:val="325E4969"/>
    <w:rsid w:val="32746F08"/>
    <w:rsid w:val="327661FC"/>
    <w:rsid w:val="32787E64"/>
    <w:rsid w:val="32B33B5A"/>
    <w:rsid w:val="32E16FE7"/>
    <w:rsid w:val="32EE27B2"/>
    <w:rsid w:val="33283C74"/>
    <w:rsid w:val="33372789"/>
    <w:rsid w:val="33373161"/>
    <w:rsid w:val="333876C2"/>
    <w:rsid w:val="3346302E"/>
    <w:rsid w:val="33484A1E"/>
    <w:rsid w:val="335F47E9"/>
    <w:rsid w:val="33672754"/>
    <w:rsid w:val="33757E6E"/>
    <w:rsid w:val="33813C29"/>
    <w:rsid w:val="33AE46D6"/>
    <w:rsid w:val="33E811A0"/>
    <w:rsid w:val="33FB17D8"/>
    <w:rsid w:val="340D027E"/>
    <w:rsid w:val="34693A6E"/>
    <w:rsid w:val="346E4104"/>
    <w:rsid w:val="3476470C"/>
    <w:rsid w:val="34B85E11"/>
    <w:rsid w:val="34D83C16"/>
    <w:rsid w:val="34F4225F"/>
    <w:rsid w:val="34F42A3D"/>
    <w:rsid w:val="35022C0E"/>
    <w:rsid w:val="3509315E"/>
    <w:rsid w:val="351A4CC6"/>
    <w:rsid w:val="356B24AB"/>
    <w:rsid w:val="35AE299B"/>
    <w:rsid w:val="35C620C0"/>
    <w:rsid w:val="35CA47C2"/>
    <w:rsid w:val="371440A5"/>
    <w:rsid w:val="37705F34"/>
    <w:rsid w:val="377700B0"/>
    <w:rsid w:val="37857872"/>
    <w:rsid w:val="379C48BE"/>
    <w:rsid w:val="37AF7036"/>
    <w:rsid w:val="37CC4FDD"/>
    <w:rsid w:val="37ED2901"/>
    <w:rsid w:val="37F7347F"/>
    <w:rsid w:val="380927B5"/>
    <w:rsid w:val="381F0B0E"/>
    <w:rsid w:val="382139EC"/>
    <w:rsid w:val="3876150B"/>
    <w:rsid w:val="38D03C78"/>
    <w:rsid w:val="38EF03A6"/>
    <w:rsid w:val="38F0125F"/>
    <w:rsid w:val="3900577A"/>
    <w:rsid w:val="39187A90"/>
    <w:rsid w:val="39202018"/>
    <w:rsid w:val="392739EA"/>
    <w:rsid w:val="392D38AD"/>
    <w:rsid w:val="3946679B"/>
    <w:rsid w:val="394D1646"/>
    <w:rsid w:val="39870C57"/>
    <w:rsid w:val="399A43EA"/>
    <w:rsid w:val="39AE5946"/>
    <w:rsid w:val="39D62AC1"/>
    <w:rsid w:val="3A0F1960"/>
    <w:rsid w:val="3A135535"/>
    <w:rsid w:val="3A166029"/>
    <w:rsid w:val="3A2A08FE"/>
    <w:rsid w:val="3A416AA0"/>
    <w:rsid w:val="3A431070"/>
    <w:rsid w:val="3A434F00"/>
    <w:rsid w:val="3A6B6F88"/>
    <w:rsid w:val="3A841F11"/>
    <w:rsid w:val="3A8B04D0"/>
    <w:rsid w:val="3A977F34"/>
    <w:rsid w:val="3AC125B3"/>
    <w:rsid w:val="3AF216E5"/>
    <w:rsid w:val="3B0B15C3"/>
    <w:rsid w:val="3B0F2999"/>
    <w:rsid w:val="3B30671A"/>
    <w:rsid w:val="3B5555F7"/>
    <w:rsid w:val="3B5662AC"/>
    <w:rsid w:val="3B981241"/>
    <w:rsid w:val="3BBB2E68"/>
    <w:rsid w:val="3BD120B9"/>
    <w:rsid w:val="3BDA3F2B"/>
    <w:rsid w:val="3BED4706"/>
    <w:rsid w:val="3C0B0D05"/>
    <w:rsid w:val="3C1B10BF"/>
    <w:rsid w:val="3C8823DF"/>
    <w:rsid w:val="3C9D0254"/>
    <w:rsid w:val="3C9F5B7F"/>
    <w:rsid w:val="3CA22406"/>
    <w:rsid w:val="3CC5729E"/>
    <w:rsid w:val="3CCE203C"/>
    <w:rsid w:val="3CD96C18"/>
    <w:rsid w:val="3CDC3348"/>
    <w:rsid w:val="3D02537F"/>
    <w:rsid w:val="3D042BD7"/>
    <w:rsid w:val="3D087EC6"/>
    <w:rsid w:val="3D0C1655"/>
    <w:rsid w:val="3D1C1E27"/>
    <w:rsid w:val="3D4E48C8"/>
    <w:rsid w:val="3D50421B"/>
    <w:rsid w:val="3D77737D"/>
    <w:rsid w:val="3D807C08"/>
    <w:rsid w:val="3DBF5349"/>
    <w:rsid w:val="3DC04E13"/>
    <w:rsid w:val="3DCC0A6F"/>
    <w:rsid w:val="3DD244E7"/>
    <w:rsid w:val="3DDC294B"/>
    <w:rsid w:val="3E0956DA"/>
    <w:rsid w:val="3E0E5340"/>
    <w:rsid w:val="3E132617"/>
    <w:rsid w:val="3E1747FA"/>
    <w:rsid w:val="3E2E7EE8"/>
    <w:rsid w:val="3E4F76FB"/>
    <w:rsid w:val="3E5B41D6"/>
    <w:rsid w:val="3E964B98"/>
    <w:rsid w:val="3E9B2B8B"/>
    <w:rsid w:val="3EAD26A1"/>
    <w:rsid w:val="3EB01A0B"/>
    <w:rsid w:val="3ECE16FA"/>
    <w:rsid w:val="3F064C6A"/>
    <w:rsid w:val="3F201B40"/>
    <w:rsid w:val="3F322D0C"/>
    <w:rsid w:val="3F3542FD"/>
    <w:rsid w:val="3F4118C8"/>
    <w:rsid w:val="3F4334BB"/>
    <w:rsid w:val="3F5C676A"/>
    <w:rsid w:val="3F651AFB"/>
    <w:rsid w:val="3FF55768"/>
    <w:rsid w:val="40093B4F"/>
    <w:rsid w:val="40350A49"/>
    <w:rsid w:val="40460408"/>
    <w:rsid w:val="40462AC9"/>
    <w:rsid w:val="405313A9"/>
    <w:rsid w:val="40566CBF"/>
    <w:rsid w:val="40662F6F"/>
    <w:rsid w:val="40776BAF"/>
    <w:rsid w:val="407921CE"/>
    <w:rsid w:val="40C04FE0"/>
    <w:rsid w:val="40FA3D02"/>
    <w:rsid w:val="413E21D5"/>
    <w:rsid w:val="418530B3"/>
    <w:rsid w:val="41AA7137"/>
    <w:rsid w:val="41BF2F04"/>
    <w:rsid w:val="41CB7B05"/>
    <w:rsid w:val="41EC58FB"/>
    <w:rsid w:val="41F931F1"/>
    <w:rsid w:val="42157286"/>
    <w:rsid w:val="422A484C"/>
    <w:rsid w:val="422A51CF"/>
    <w:rsid w:val="4231331F"/>
    <w:rsid w:val="42381A71"/>
    <w:rsid w:val="423E6EC2"/>
    <w:rsid w:val="426B0C9E"/>
    <w:rsid w:val="42841694"/>
    <w:rsid w:val="429266C7"/>
    <w:rsid w:val="42AF1322"/>
    <w:rsid w:val="42B30ACF"/>
    <w:rsid w:val="42D25CAE"/>
    <w:rsid w:val="42E73C10"/>
    <w:rsid w:val="42F708A9"/>
    <w:rsid w:val="42FC0B94"/>
    <w:rsid w:val="43364422"/>
    <w:rsid w:val="433B6093"/>
    <w:rsid w:val="434E79BA"/>
    <w:rsid w:val="43536857"/>
    <w:rsid w:val="437365D2"/>
    <w:rsid w:val="43AA33DE"/>
    <w:rsid w:val="43BB7215"/>
    <w:rsid w:val="43BC4F26"/>
    <w:rsid w:val="43DA1ABE"/>
    <w:rsid w:val="43E762B0"/>
    <w:rsid w:val="43EE582E"/>
    <w:rsid w:val="43FB3DA4"/>
    <w:rsid w:val="440E1214"/>
    <w:rsid w:val="441C4006"/>
    <w:rsid w:val="44330E9F"/>
    <w:rsid w:val="443E7A53"/>
    <w:rsid w:val="44462D9E"/>
    <w:rsid w:val="44752C18"/>
    <w:rsid w:val="449E489D"/>
    <w:rsid w:val="44B24294"/>
    <w:rsid w:val="44CF520F"/>
    <w:rsid w:val="44D50483"/>
    <w:rsid w:val="451019FB"/>
    <w:rsid w:val="451A43EA"/>
    <w:rsid w:val="451B2715"/>
    <w:rsid w:val="45361837"/>
    <w:rsid w:val="4543370D"/>
    <w:rsid w:val="454F62D8"/>
    <w:rsid w:val="455B13AC"/>
    <w:rsid w:val="45CF3CD0"/>
    <w:rsid w:val="45F6393A"/>
    <w:rsid w:val="46037BDC"/>
    <w:rsid w:val="460567D8"/>
    <w:rsid w:val="4626023B"/>
    <w:rsid w:val="462F25DF"/>
    <w:rsid w:val="46566BF3"/>
    <w:rsid w:val="46620161"/>
    <w:rsid w:val="46C17C69"/>
    <w:rsid w:val="46D65A5E"/>
    <w:rsid w:val="46E63986"/>
    <w:rsid w:val="46FC7DAE"/>
    <w:rsid w:val="470463F8"/>
    <w:rsid w:val="472F00D3"/>
    <w:rsid w:val="475A31AD"/>
    <w:rsid w:val="47777F88"/>
    <w:rsid w:val="47971B97"/>
    <w:rsid w:val="479A4E4A"/>
    <w:rsid w:val="479F63EE"/>
    <w:rsid w:val="47C304FD"/>
    <w:rsid w:val="47C357A6"/>
    <w:rsid w:val="47D77F02"/>
    <w:rsid w:val="4815186D"/>
    <w:rsid w:val="481C0488"/>
    <w:rsid w:val="481C4CBC"/>
    <w:rsid w:val="485A4BA7"/>
    <w:rsid w:val="486432D4"/>
    <w:rsid w:val="487C3875"/>
    <w:rsid w:val="48977283"/>
    <w:rsid w:val="48A90F1E"/>
    <w:rsid w:val="48B9644F"/>
    <w:rsid w:val="48DE3EAB"/>
    <w:rsid w:val="48FA3778"/>
    <w:rsid w:val="490A690E"/>
    <w:rsid w:val="49474FB2"/>
    <w:rsid w:val="495B6D68"/>
    <w:rsid w:val="4975258C"/>
    <w:rsid w:val="49896512"/>
    <w:rsid w:val="4996414B"/>
    <w:rsid w:val="49987D21"/>
    <w:rsid w:val="49BA3D71"/>
    <w:rsid w:val="49CC5B3C"/>
    <w:rsid w:val="49DB51FA"/>
    <w:rsid w:val="49FD54E4"/>
    <w:rsid w:val="4A143D9D"/>
    <w:rsid w:val="4A3011C6"/>
    <w:rsid w:val="4A5C70F1"/>
    <w:rsid w:val="4A6D545B"/>
    <w:rsid w:val="4AAD275D"/>
    <w:rsid w:val="4AAD3440"/>
    <w:rsid w:val="4AB61A05"/>
    <w:rsid w:val="4AF26B9D"/>
    <w:rsid w:val="4AF44055"/>
    <w:rsid w:val="4B2748C6"/>
    <w:rsid w:val="4B2B1C31"/>
    <w:rsid w:val="4B48494A"/>
    <w:rsid w:val="4B7E5274"/>
    <w:rsid w:val="4BB65435"/>
    <w:rsid w:val="4BCE1489"/>
    <w:rsid w:val="4BCE28BF"/>
    <w:rsid w:val="4BD60E9C"/>
    <w:rsid w:val="4BEA1EE4"/>
    <w:rsid w:val="4BEC6AE6"/>
    <w:rsid w:val="4BEE4C69"/>
    <w:rsid w:val="4BF830BC"/>
    <w:rsid w:val="4C293566"/>
    <w:rsid w:val="4C2C1C2C"/>
    <w:rsid w:val="4C3F2388"/>
    <w:rsid w:val="4C4E4313"/>
    <w:rsid w:val="4C553BEB"/>
    <w:rsid w:val="4C663381"/>
    <w:rsid w:val="4C70264A"/>
    <w:rsid w:val="4C723787"/>
    <w:rsid w:val="4C783FE1"/>
    <w:rsid w:val="4CF05EAC"/>
    <w:rsid w:val="4D102CB4"/>
    <w:rsid w:val="4D496F28"/>
    <w:rsid w:val="4D6A4B9B"/>
    <w:rsid w:val="4D7636CB"/>
    <w:rsid w:val="4D9E609E"/>
    <w:rsid w:val="4E0243C8"/>
    <w:rsid w:val="4E173831"/>
    <w:rsid w:val="4E345636"/>
    <w:rsid w:val="4E652C5C"/>
    <w:rsid w:val="4E9105E7"/>
    <w:rsid w:val="4EB053BD"/>
    <w:rsid w:val="4ED84E86"/>
    <w:rsid w:val="4FBC6FAF"/>
    <w:rsid w:val="4FDC68F3"/>
    <w:rsid w:val="4FE74185"/>
    <w:rsid w:val="4FF76FCE"/>
    <w:rsid w:val="4FFF46BE"/>
    <w:rsid w:val="50005DA1"/>
    <w:rsid w:val="5041435B"/>
    <w:rsid w:val="50564CCA"/>
    <w:rsid w:val="505A1CB0"/>
    <w:rsid w:val="506A5A36"/>
    <w:rsid w:val="5090049B"/>
    <w:rsid w:val="509778C7"/>
    <w:rsid w:val="50BD598F"/>
    <w:rsid w:val="50EF38E6"/>
    <w:rsid w:val="51287141"/>
    <w:rsid w:val="5170523B"/>
    <w:rsid w:val="51773E2A"/>
    <w:rsid w:val="519A116B"/>
    <w:rsid w:val="51A40397"/>
    <w:rsid w:val="51A74F81"/>
    <w:rsid w:val="51C53170"/>
    <w:rsid w:val="51E57489"/>
    <w:rsid w:val="51FE641B"/>
    <w:rsid w:val="5222212F"/>
    <w:rsid w:val="5236412D"/>
    <w:rsid w:val="524370D4"/>
    <w:rsid w:val="526137D1"/>
    <w:rsid w:val="5280421D"/>
    <w:rsid w:val="52BF27F0"/>
    <w:rsid w:val="52DE7B77"/>
    <w:rsid w:val="530B5FC4"/>
    <w:rsid w:val="530F6914"/>
    <w:rsid w:val="531A5811"/>
    <w:rsid w:val="535E62F0"/>
    <w:rsid w:val="5361709F"/>
    <w:rsid w:val="53705401"/>
    <w:rsid w:val="537509F0"/>
    <w:rsid w:val="53752E8D"/>
    <w:rsid w:val="53832E83"/>
    <w:rsid w:val="53A24A91"/>
    <w:rsid w:val="53AA30EC"/>
    <w:rsid w:val="53C60E3E"/>
    <w:rsid w:val="53D005D1"/>
    <w:rsid w:val="540D782C"/>
    <w:rsid w:val="541B7EBE"/>
    <w:rsid w:val="542F1421"/>
    <w:rsid w:val="54342D0E"/>
    <w:rsid w:val="543973F0"/>
    <w:rsid w:val="543B3AF3"/>
    <w:rsid w:val="544B51D2"/>
    <w:rsid w:val="544C3285"/>
    <w:rsid w:val="546C32BA"/>
    <w:rsid w:val="547733F4"/>
    <w:rsid w:val="54B156BA"/>
    <w:rsid w:val="54F516DC"/>
    <w:rsid w:val="550D4DCC"/>
    <w:rsid w:val="550D509F"/>
    <w:rsid w:val="55187C2D"/>
    <w:rsid w:val="551F0291"/>
    <w:rsid w:val="551F51F5"/>
    <w:rsid w:val="5553143F"/>
    <w:rsid w:val="557C5C50"/>
    <w:rsid w:val="55B42DC5"/>
    <w:rsid w:val="55B760AB"/>
    <w:rsid w:val="55C82763"/>
    <w:rsid w:val="55CE50F9"/>
    <w:rsid w:val="56063D06"/>
    <w:rsid w:val="560921FF"/>
    <w:rsid w:val="561E43E8"/>
    <w:rsid w:val="56243301"/>
    <w:rsid w:val="562F5C39"/>
    <w:rsid w:val="566D79F4"/>
    <w:rsid w:val="567964BE"/>
    <w:rsid w:val="567B20DA"/>
    <w:rsid w:val="56943FE8"/>
    <w:rsid w:val="56A306FD"/>
    <w:rsid w:val="56B04C07"/>
    <w:rsid w:val="56DA5A5F"/>
    <w:rsid w:val="573C3B69"/>
    <w:rsid w:val="57563E7B"/>
    <w:rsid w:val="57600E00"/>
    <w:rsid w:val="577E3F1D"/>
    <w:rsid w:val="57936B8F"/>
    <w:rsid w:val="57C70008"/>
    <w:rsid w:val="58082D66"/>
    <w:rsid w:val="58224292"/>
    <w:rsid w:val="58270690"/>
    <w:rsid w:val="584D0B76"/>
    <w:rsid w:val="584F2CED"/>
    <w:rsid w:val="586B2608"/>
    <w:rsid w:val="586D59B4"/>
    <w:rsid w:val="5879595C"/>
    <w:rsid w:val="588331BE"/>
    <w:rsid w:val="58D16F7B"/>
    <w:rsid w:val="592D287D"/>
    <w:rsid w:val="592D7AE2"/>
    <w:rsid w:val="593554F0"/>
    <w:rsid w:val="59BA5947"/>
    <w:rsid w:val="59F967B7"/>
    <w:rsid w:val="5A194DBF"/>
    <w:rsid w:val="5A1A7700"/>
    <w:rsid w:val="5A3078C5"/>
    <w:rsid w:val="5A3A24E6"/>
    <w:rsid w:val="5A7A4DB9"/>
    <w:rsid w:val="5AA277F3"/>
    <w:rsid w:val="5AC16AE9"/>
    <w:rsid w:val="5ADF3A74"/>
    <w:rsid w:val="5AE53367"/>
    <w:rsid w:val="5B0B0083"/>
    <w:rsid w:val="5B0B32DD"/>
    <w:rsid w:val="5B1254E6"/>
    <w:rsid w:val="5B2E5B59"/>
    <w:rsid w:val="5B3B2FDA"/>
    <w:rsid w:val="5B4A6955"/>
    <w:rsid w:val="5BA65A0C"/>
    <w:rsid w:val="5BB2174D"/>
    <w:rsid w:val="5BC3228B"/>
    <w:rsid w:val="5BCB00D0"/>
    <w:rsid w:val="5BF571B7"/>
    <w:rsid w:val="5BFC28DA"/>
    <w:rsid w:val="5C35787E"/>
    <w:rsid w:val="5C3B1FEA"/>
    <w:rsid w:val="5C550669"/>
    <w:rsid w:val="5C6A01BF"/>
    <w:rsid w:val="5C70174F"/>
    <w:rsid w:val="5C792CC0"/>
    <w:rsid w:val="5CEB6783"/>
    <w:rsid w:val="5D041ECD"/>
    <w:rsid w:val="5D5E1AC8"/>
    <w:rsid w:val="5D8276D8"/>
    <w:rsid w:val="5D9D2DC0"/>
    <w:rsid w:val="5DDA6F57"/>
    <w:rsid w:val="5DED5E63"/>
    <w:rsid w:val="5E051414"/>
    <w:rsid w:val="5E206741"/>
    <w:rsid w:val="5E2D4C21"/>
    <w:rsid w:val="5E551862"/>
    <w:rsid w:val="5E820037"/>
    <w:rsid w:val="5E9A188D"/>
    <w:rsid w:val="5EB85C5B"/>
    <w:rsid w:val="5EE41E2E"/>
    <w:rsid w:val="5EE46E45"/>
    <w:rsid w:val="5F0C7F49"/>
    <w:rsid w:val="5F0F00DA"/>
    <w:rsid w:val="5F3B32F7"/>
    <w:rsid w:val="5F4B4581"/>
    <w:rsid w:val="5F61023D"/>
    <w:rsid w:val="5F98224D"/>
    <w:rsid w:val="5F9F42F8"/>
    <w:rsid w:val="5FBC07EC"/>
    <w:rsid w:val="5FFF02E1"/>
    <w:rsid w:val="60017F85"/>
    <w:rsid w:val="60032276"/>
    <w:rsid w:val="600C3AE0"/>
    <w:rsid w:val="602C236A"/>
    <w:rsid w:val="6045086B"/>
    <w:rsid w:val="60523595"/>
    <w:rsid w:val="607356CF"/>
    <w:rsid w:val="60745B63"/>
    <w:rsid w:val="609A141A"/>
    <w:rsid w:val="60AC01F6"/>
    <w:rsid w:val="60AD6E35"/>
    <w:rsid w:val="60BC1BBF"/>
    <w:rsid w:val="60E50451"/>
    <w:rsid w:val="60F55882"/>
    <w:rsid w:val="60F64A32"/>
    <w:rsid w:val="61051332"/>
    <w:rsid w:val="61637003"/>
    <w:rsid w:val="616A21E7"/>
    <w:rsid w:val="61824900"/>
    <w:rsid w:val="61856B0D"/>
    <w:rsid w:val="61B601DF"/>
    <w:rsid w:val="61D379C6"/>
    <w:rsid w:val="61F833BE"/>
    <w:rsid w:val="61FD4717"/>
    <w:rsid w:val="621F5265"/>
    <w:rsid w:val="623928B9"/>
    <w:rsid w:val="62812953"/>
    <w:rsid w:val="62B7743E"/>
    <w:rsid w:val="62B8352F"/>
    <w:rsid w:val="62BB48DA"/>
    <w:rsid w:val="62CC4BC6"/>
    <w:rsid w:val="62DD3C86"/>
    <w:rsid w:val="62E674AB"/>
    <w:rsid w:val="62EF63FA"/>
    <w:rsid w:val="62FA23A0"/>
    <w:rsid w:val="63061571"/>
    <w:rsid w:val="632B39DC"/>
    <w:rsid w:val="639D47D1"/>
    <w:rsid w:val="63B508EC"/>
    <w:rsid w:val="63C438C6"/>
    <w:rsid w:val="63C84437"/>
    <w:rsid w:val="64116858"/>
    <w:rsid w:val="642B0065"/>
    <w:rsid w:val="64310139"/>
    <w:rsid w:val="64550D9E"/>
    <w:rsid w:val="646311BF"/>
    <w:rsid w:val="646F5452"/>
    <w:rsid w:val="648727EC"/>
    <w:rsid w:val="648D5222"/>
    <w:rsid w:val="649D0CB0"/>
    <w:rsid w:val="64B2258D"/>
    <w:rsid w:val="64DE359C"/>
    <w:rsid w:val="64E30C9E"/>
    <w:rsid w:val="64E86D2F"/>
    <w:rsid w:val="65666F13"/>
    <w:rsid w:val="657C25FC"/>
    <w:rsid w:val="65997784"/>
    <w:rsid w:val="65A976E6"/>
    <w:rsid w:val="65C64C37"/>
    <w:rsid w:val="65CB560D"/>
    <w:rsid w:val="65D01190"/>
    <w:rsid w:val="66197BB5"/>
    <w:rsid w:val="66685007"/>
    <w:rsid w:val="66937BBB"/>
    <w:rsid w:val="66AB371C"/>
    <w:rsid w:val="66AE1192"/>
    <w:rsid w:val="66CA69C3"/>
    <w:rsid w:val="672F1708"/>
    <w:rsid w:val="6749368B"/>
    <w:rsid w:val="67594DFB"/>
    <w:rsid w:val="6794708A"/>
    <w:rsid w:val="67CE0CE2"/>
    <w:rsid w:val="67DA4215"/>
    <w:rsid w:val="67E42DFA"/>
    <w:rsid w:val="67ED44CB"/>
    <w:rsid w:val="6811170E"/>
    <w:rsid w:val="681D58BA"/>
    <w:rsid w:val="6833352E"/>
    <w:rsid w:val="686A6ECC"/>
    <w:rsid w:val="68946F88"/>
    <w:rsid w:val="68CD2D93"/>
    <w:rsid w:val="68EB3ADC"/>
    <w:rsid w:val="6901490D"/>
    <w:rsid w:val="69240005"/>
    <w:rsid w:val="69462386"/>
    <w:rsid w:val="694C2162"/>
    <w:rsid w:val="697206C8"/>
    <w:rsid w:val="698624ED"/>
    <w:rsid w:val="69A406C2"/>
    <w:rsid w:val="69B60CF8"/>
    <w:rsid w:val="69C96ADD"/>
    <w:rsid w:val="69CC3556"/>
    <w:rsid w:val="69DC5A3B"/>
    <w:rsid w:val="69E50464"/>
    <w:rsid w:val="69F94050"/>
    <w:rsid w:val="6A12713E"/>
    <w:rsid w:val="6A2F06BE"/>
    <w:rsid w:val="6A4811D1"/>
    <w:rsid w:val="6A575201"/>
    <w:rsid w:val="6A7016FE"/>
    <w:rsid w:val="6AFC6812"/>
    <w:rsid w:val="6B017ECC"/>
    <w:rsid w:val="6B51227B"/>
    <w:rsid w:val="6B5E2EC6"/>
    <w:rsid w:val="6B7575DB"/>
    <w:rsid w:val="6BAB4ED2"/>
    <w:rsid w:val="6BFB3F37"/>
    <w:rsid w:val="6C42065A"/>
    <w:rsid w:val="6C6F44FD"/>
    <w:rsid w:val="6C772285"/>
    <w:rsid w:val="6C8C6D07"/>
    <w:rsid w:val="6C9E7796"/>
    <w:rsid w:val="6CB53A27"/>
    <w:rsid w:val="6CB759F8"/>
    <w:rsid w:val="6CD4731D"/>
    <w:rsid w:val="6D10062D"/>
    <w:rsid w:val="6D121910"/>
    <w:rsid w:val="6D1B4473"/>
    <w:rsid w:val="6D3205F0"/>
    <w:rsid w:val="6D4C048E"/>
    <w:rsid w:val="6D5C5991"/>
    <w:rsid w:val="6D681BA3"/>
    <w:rsid w:val="6D862B60"/>
    <w:rsid w:val="6DB702B4"/>
    <w:rsid w:val="6DB9368E"/>
    <w:rsid w:val="6E2A7F0A"/>
    <w:rsid w:val="6E4462CC"/>
    <w:rsid w:val="6E500ECF"/>
    <w:rsid w:val="6E504618"/>
    <w:rsid w:val="6E6C428D"/>
    <w:rsid w:val="6EB20078"/>
    <w:rsid w:val="6EB70A1D"/>
    <w:rsid w:val="6F301CB2"/>
    <w:rsid w:val="6F3F4352"/>
    <w:rsid w:val="6F450F4D"/>
    <w:rsid w:val="6F5579D7"/>
    <w:rsid w:val="6F6D111D"/>
    <w:rsid w:val="6F740513"/>
    <w:rsid w:val="6F801AF8"/>
    <w:rsid w:val="6F8D5AAE"/>
    <w:rsid w:val="6F9C4786"/>
    <w:rsid w:val="6FB57303"/>
    <w:rsid w:val="6FB7010B"/>
    <w:rsid w:val="6FFF59CB"/>
    <w:rsid w:val="70160759"/>
    <w:rsid w:val="70200B37"/>
    <w:rsid w:val="7037013D"/>
    <w:rsid w:val="703B274B"/>
    <w:rsid w:val="704E4A67"/>
    <w:rsid w:val="70995673"/>
    <w:rsid w:val="70AA0AC2"/>
    <w:rsid w:val="70AA24EA"/>
    <w:rsid w:val="70B97CE8"/>
    <w:rsid w:val="70D46C56"/>
    <w:rsid w:val="70EA7511"/>
    <w:rsid w:val="71143E21"/>
    <w:rsid w:val="71424983"/>
    <w:rsid w:val="7150640B"/>
    <w:rsid w:val="71616F10"/>
    <w:rsid w:val="71C77CDA"/>
    <w:rsid w:val="71C93578"/>
    <w:rsid w:val="71CF5A3A"/>
    <w:rsid w:val="71DB1C81"/>
    <w:rsid w:val="71DB3B44"/>
    <w:rsid w:val="71E636DC"/>
    <w:rsid w:val="72042857"/>
    <w:rsid w:val="72516D64"/>
    <w:rsid w:val="72744030"/>
    <w:rsid w:val="72867A39"/>
    <w:rsid w:val="72C14D7E"/>
    <w:rsid w:val="72E532C0"/>
    <w:rsid w:val="72EE3608"/>
    <w:rsid w:val="72F37E30"/>
    <w:rsid w:val="7318185D"/>
    <w:rsid w:val="7322549D"/>
    <w:rsid w:val="7327462F"/>
    <w:rsid w:val="732F59FD"/>
    <w:rsid w:val="734B5574"/>
    <w:rsid w:val="7355417D"/>
    <w:rsid w:val="736C3FBB"/>
    <w:rsid w:val="73821201"/>
    <w:rsid w:val="73832905"/>
    <w:rsid w:val="738C0987"/>
    <w:rsid w:val="739F768E"/>
    <w:rsid w:val="73A75983"/>
    <w:rsid w:val="73A85DC8"/>
    <w:rsid w:val="73C54686"/>
    <w:rsid w:val="73D14742"/>
    <w:rsid w:val="73E217DB"/>
    <w:rsid w:val="73ED43C1"/>
    <w:rsid w:val="73FB25F2"/>
    <w:rsid w:val="740F6E24"/>
    <w:rsid w:val="741866C3"/>
    <w:rsid w:val="741A167F"/>
    <w:rsid w:val="741D30D0"/>
    <w:rsid w:val="74285611"/>
    <w:rsid w:val="7430057A"/>
    <w:rsid w:val="7451673A"/>
    <w:rsid w:val="74573DE9"/>
    <w:rsid w:val="74626087"/>
    <w:rsid w:val="747F0795"/>
    <w:rsid w:val="7483582D"/>
    <w:rsid w:val="74901AB7"/>
    <w:rsid w:val="749D37F7"/>
    <w:rsid w:val="74BC6C8B"/>
    <w:rsid w:val="74D53B99"/>
    <w:rsid w:val="754C1AAF"/>
    <w:rsid w:val="76270935"/>
    <w:rsid w:val="762B3711"/>
    <w:rsid w:val="76566326"/>
    <w:rsid w:val="76696B17"/>
    <w:rsid w:val="76696D01"/>
    <w:rsid w:val="767A6966"/>
    <w:rsid w:val="76991F3B"/>
    <w:rsid w:val="76BD4E1F"/>
    <w:rsid w:val="76D8737F"/>
    <w:rsid w:val="76E279D7"/>
    <w:rsid w:val="76FC2715"/>
    <w:rsid w:val="7718204C"/>
    <w:rsid w:val="772E0626"/>
    <w:rsid w:val="773460AA"/>
    <w:rsid w:val="7752184A"/>
    <w:rsid w:val="7754709D"/>
    <w:rsid w:val="776821D3"/>
    <w:rsid w:val="776E285A"/>
    <w:rsid w:val="77B02D8D"/>
    <w:rsid w:val="77B23404"/>
    <w:rsid w:val="77C0093D"/>
    <w:rsid w:val="77C80FE0"/>
    <w:rsid w:val="77C90B9C"/>
    <w:rsid w:val="77DB4D3A"/>
    <w:rsid w:val="77EF22D8"/>
    <w:rsid w:val="7811438D"/>
    <w:rsid w:val="78204380"/>
    <w:rsid w:val="7823088B"/>
    <w:rsid w:val="78384CBC"/>
    <w:rsid w:val="784140B2"/>
    <w:rsid w:val="784258BF"/>
    <w:rsid w:val="7862008E"/>
    <w:rsid w:val="786C0DC0"/>
    <w:rsid w:val="78723138"/>
    <w:rsid w:val="78C070AB"/>
    <w:rsid w:val="78FD1105"/>
    <w:rsid w:val="791D7901"/>
    <w:rsid w:val="79340E93"/>
    <w:rsid w:val="793758F2"/>
    <w:rsid w:val="7938371E"/>
    <w:rsid w:val="79AB1E6C"/>
    <w:rsid w:val="79BB100C"/>
    <w:rsid w:val="79C0590F"/>
    <w:rsid w:val="79EE0B28"/>
    <w:rsid w:val="7A080BBF"/>
    <w:rsid w:val="7A0E1DB4"/>
    <w:rsid w:val="7A11214D"/>
    <w:rsid w:val="7A1C3197"/>
    <w:rsid w:val="7A4F2396"/>
    <w:rsid w:val="7A516C18"/>
    <w:rsid w:val="7A787ECB"/>
    <w:rsid w:val="7A875FC6"/>
    <w:rsid w:val="7A8B51CB"/>
    <w:rsid w:val="7A984514"/>
    <w:rsid w:val="7AB507FA"/>
    <w:rsid w:val="7AC634CB"/>
    <w:rsid w:val="7ACB482C"/>
    <w:rsid w:val="7AE7260F"/>
    <w:rsid w:val="7AEA6401"/>
    <w:rsid w:val="7AEB331B"/>
    <w:rsid w:val="7AF137EF"/>
    <w:rsid w:val="7B100283"/>
    <w:rsid w:val="7B193819"/>
    <w:rsid w:val="7B2531D6"/>
    <w:rsid w:val="7B3D3F94"/>
    <w:rsid w:val="7B5B11D8"/>
    <w:rsid w:val="7B5D71AA"/>
    <w:rsid w:val="7B8E193F"/>
    <w:rsid w:val="7B947C9E"/>
    <w:rsid w:val="7BAE3C2D"/>
    <w:rsid w:val="7BF90DBF"/>
    <w:rsid w:val="7C41564D"/>
    <w:rsid w:val="7C5F0EF8"/>
    <w:rsid w:val="7C8A0448"/>
    <w:rsid w:val="7C8E16C9"/>
    <w:rsid w:val="7C91123B"/>
    <w:rsid w:val="7CA10AF6"/>
    <w:rsid w:val="7CB561C0"/>
    <w:rsid w:val="7CCC277F"/>
    <w:rsid w:val="7CCD3BF4"/>
    <w:rsid w:val="7CE3033A"/>
    <w:rsid w:val="7CE87D91"/>
    <w:rsid w:val="7D0A2590"/>
    <w:rsid w:val="7D550752"/>
    <w:rsid w:val="7D6A7A29"/>
    <w:rsid w:val="7D702076"/>
    <w:rsid w:val="7D712B47"/>
    <w:rsid w:val="7DA0035E"/>
    <w:rsid w:val="7DBE0A6E"/>
    <w:rsid w:val="7DCC5A45"/>
    <w:rsid w:val="7DED6343"/>
    <w:rsid w:val="7E3F65EE"/>
    <w:rsid w:val="7E401756"/>
    <w:rsid w:val="7E630B4F"/>
    <w:rsid w:val="7E642324"/>
    <w:rsid w:val="7E831180"/>
    <w:rsid w:val="7E8B6D0C"/>
    <w:rsid w:val="7E905E0D"/>
    <w:rsid w:val="7EDA5831"/>
    <w:rsid w:val="7EFA29D7"/>
    <w:rsid w:val="7F007923"/>
    <w:rsid w:val="7F1F02F6"/>
    <w:rsid w:val="7F285EA4"/>
    <w:rsid w:val="7F3E6A44"/>
    <w:rsid w:val="7F5B1662"/>
    <w:rsid w:val="7F5F055A"/>
    <w:rsid w:val="7F71142C"/>
    <w:rsid w:val="7F787EDB"/>
    <w:rsid w:val="7FA464F2"/>
    <w:rsid w:val="7FCD388E"/>
    <w:rsid w:val="7FE82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Cs w:val="22"/>
      <w:lang w:val="en-US" w:eastAsia="en-US" w:bidi="ar-SA"/>
    </w:rPr>
  </w:style>
  <w:style w:type="paragraph" w:styleId="2">
    <w:name w:val="heading 1"/>
    <w:basedOn w:val="1"/>
    <w:next w:val="1"/>
    <w:link w:val="26"/>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5"/>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4"/>
    <w:semiHidden/>
    <w:unhideWhenUsed/>
    <w:qFormat/>
    <w:uiPriority w:val="9"/>
    <w:pPr>
      <w:outlineLvl w:val="3"/>
    </w:pPr>
    <w:rPr>
      <w:i/>
      <w:iCs/>
      <w:color w:val="2F5597" w:themeColor="accent1" w:themeShade="BF"/>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9"/>
    <w:unhideWhenUsed/>
    <w:qFormat/>
    <w:uiPriority w:val="35"/>
    <w:pPr>
      <w:spacing w:after="200" w:line="240" w:lineRule="auto"/>
      <w:jc w:val="center"/>
    </w:pPr>
    <w:rPr>
      <w:rFonts w:ascii="Arial" w:hAnsi="Arial"/>
      <w:i/>
      <w:iCs/>
      <w:sz w:val="18"/>
      <w:szCs w:val="18"/>
    </w:rPr>
  </w:style>
  <w:style w:type="paragraph" w:styleId="7">
    <w:name w:val="annotation text"/>
    <w:basedOn w:val="1"/>
    <w:link w:val="59"/>
    <w:semiHidden/>
    <w:unhideWhenUsed/>
    <w:qFormat/>
    <w:uiPriority w:val="99"/>
    <w:pPr>
      <w:spacing w:line="240" w:lineRule="auto"/>
    </w:pPr>
    <w:rPr>
      <w:szCs w:val="20"/>
    </w:rPr>
  </w:style>
  <w:style w:type="paragraph" w:styleId="8">
    <w:name w:val="Body Text"/>
    <w:basedOn w:val="1"/>
    <w:link w:val="47"/>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6"/>
    <w:semiHidden/>
    <w:unhideWhenUsed/>
    <w:qFormat/>
    <w:uiPriority w:val="99"/>
    <w:pPr>
      <w:spacing w:after="0" w:line="240" w:lineRule="auto"/>
    </w:pPr>
    <w:rPr>
      <w:rFonts w:ascii="Segoe UI" w:hAnsi="Segoe UI" w:cs="Segoe UI"/>
      <w:sz w:val="18"/>
      <w:szCs w:val="18"/>
    </w:rPr>
  </w:style>
  <w:style w:type="paragraph" w:styleId="12">
    <w:name w:val="header"/>
    <w:basedOn w:val="1"/>
    <w:link w:val="54"/>
    <w:semiHidden/>
    <w:unhideWhenUsed/>
    <w:qFormat/>
    <w:uiPriority w:val="0"/>
    <w:pPr>
      <w:widowControl w:val="0"/>
      <w:spacing w:after="0" w:line="240" w:lineRule="auto"/>
    </w:pPr>
    <w:rPr>
      <w:rFonts w:ascii="Tms Rmn" w:hAnsi="Tms Rmn"/>
      <w:b/>
      <w:sz w:val="18"/>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7">
    <w:name w:val="annotation subject"/>
    <w:basedOn w:val="7"/>
    <w:next w:val="7"/>
    <w:link w:val="60"/>
    <w:semiHidden/>
    <w:unhideWhenUsed/>
    <w:qFormat/>
    <w:uiPriority w:val="99"/>
    <w:rPr>
      <w:b/>
      <w:bCs/>
    </w:rPr>
  </w:style>
  <w:style w:type="table" w:styleId="19">
    <w:name w:val="Table Grid"/>
    <w:basedOn w:val="18"/>
    <w:qFormat/>
    <w:uiPriority w:val="39"/>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rPr>
  </w:style>
  <w:style w:type="character" w:styleId="22">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3">
    <w:name w:val="Hyperlink"/>
    <w:basedOn w:val="20"/>
    <w:unhideWhenUsed/>
    <w:qFormat/>
    <w:uiPriority w:val="99"/>
    <w:rPr>
      <w:color w:val="0563C1" w:themeColor="hyperlink"/>
      <w:u w:val="single"/>
      <w14:textFill>
        <w14:solidFill>
          <w14:schemeClr w14:val="hlink"/>
        </w14:solidFill>
      </w14:textFill>
    </w:rPr>
  </w:style>
  <w:style w:type="character" w:styleId="24">
    <w:name w:val="annotation reference"/>
    <w:basedOn w:val="20"/>
    <w:semiHidden/>
    <w:unhideWhenUsed/>
    <w:qFormat/>
    <w:uiPriority w:val="99"/>
    <w:rPr>
      <w:sz w:val="16"/>
      <w:szCs w:val="16"/>
    </w:rPr>
  </w:style>
  <w:style w:type="character" w:customStyle="1" w:styleId="25">
    <w:name w:val="标题 2 Char"/>
    <w:basedOn w:val="20"/>
    <w:link w:val="3"/>
    <w:qFormat/>
    <w:uiPriority w:val="0"/>
    <w:rPr>
      <w:rFonts w:ascii="Arial" w:hAnsi="Arial" w:eastAsia="Times New Roman" w:cs="Times New Roman"/>
      <w:sz w:val="32"/>
      <w:szCs w:val="20"/>
      <w:lang w:val="en-GB"/>
    </w:rPr>
  </w:style>
  <w:style w:type="character" w:customStyle="1" w:styleId="26">
    <w:name w:val="标题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7">
    <w:name w:val="List Paragraph"/>
    <w:basedOn w:val="1"/>
    <w:link w:val="34"/>
    <w:qFormat/>
    <w:uiPriority w:val="34"/>
    <w:pPr>
      <w:ind w:left="720"/>
      <w:contextualSpacing/>
    </w:pPr>
  </w:style>
  <w:style w:type="paragraph" w:customStyle="1" w:styleId="28">
    <w:name w:val="RAN4 H2"/>
    <w:basedOn w:val="3"/>
    <w:next w:val="1"/>
    <w:link w:val="30"/>
    <w:qFormat/>
    <w:uiPriority w:val="0"/>
    <w:rPr>
      <w:lang w:val="en-US"/>
    </w:rPr>
  </w:style>
  <w:style w:type="paragraph" w:customStyle="1" w:styleId="29">
    <w:name w:val="RAN4 H1"/>
    <w:basedOn w:val="1"/>
    <w:link w:val="32"/>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0">
    <w:name w:val="RAN4 H2 Char"/>
    <w:basedOn w:val="25"/>
    <w:link w:val="28"/>
    <w:qFormat/>
    <w:uiPriority w:val="0"/>
    <w:rPr>
      <w:rFonts w:ascii="Arial" w:hAnsi="Arial" w:eastAsia="Times New Roman" w:cs="Times New Roman"/>
      <w:sz w:val="32"/>
      <w:szCs w:val="20"/>
      <w:lang w:val="en-GB"/>
    </w:rPr>
  </w:style>
  <w:style w:type="paragraph" w:customStyle="1" w:styleId="31">
    <w:name w:val="RAN4 Observation"/>
    <w:basedOn w:val="27"/>
    <w:next w:val="1"/>
    <w:link w:val="35"/>
    <w:qFormat/>
    <w:uiPriority w:val="0"/>
    <w:pPr>
      <w:numPr>
        <w:ilvl w:val="0"/>
        <w:numId w:val="1"/>
      </w:numPr>
    </w:pPr>
    <w:rPr>
      <w:rFonts w:eastAsia="Calibri" w:cs="Times New Roman"/>
      <w:szCs w:val="20"/>
      <w:lang w:val="en-GB"/>
    </w:rPr>
  </w:style>
  <w:style w:type="character" w:customStyle="1" w:styleId="32">
    <w:name w:val="RAN4 H1 Char"/>
    <w:basedOn w:val="20"/>
    <w:link w:val="29"/>
    <w:qFormat/>
    <w:uiPriority w:val="0"/>
    <w:rPr>
      <w:rFonts w:ascii="Arial" w:hAnsi="Arial" w:eastAsia="宋体" w:cs="Times New Roman"/>
      <w:sz w:val="36"/>
      <w:szCs w:val="20"/>
      <w:lang w:val="en-GB"/>
    </w:rPr>
  </w:style>
  <w:style w:type="paragraph" w:customStyle="1" w:styleId="33">
    <w:name w:val="RAN4 Proposal"/>
    <w:basedOn w:val="27"/>
    <w:next w:val="1"/>
    <w:link w:val="36"/>
    <w:qFormat/>
    <w:uiPriority w:val="0"/>
    <w:pPr>
      <w:numPr>
        <w:ilvl w:val="0"/>
        <w:numId w:val="2"/>
      </w:numPr>
      <w:ind w:left="0" w:firstLine="0"/>
    </w:pPr>
    <w:rPr>
      <w:rFonts w:eastAsia="Calibri" w:cs="Times New Roman"/>
      <w:b/>
      <w:szCs w:val="20"/>
      <w:lang w:val="en-GB"/>
    </w:rPr>
  </w:style>
  <w:style w:type="character" w:customStyle="1" w:styleId="34">
    <w:name w:val="列出段落 Char"/>
    <w:basedOn w:val="20"/>
    <w:link w:val="27"/>
    <w:qFormat/>
    <w:uiPriority w:val="34"/>
  </w:style>
  <w:style w:type="character" w:customStyle="1" w:styleId="35">
    <w:name w:val="RAN4 Observation Char"/>
    <w:basedOn w:val="34"/>
    <w:link w:val="31"/>
    <w:qFormat/>
    <w:uiPriority w:val="0"/>
    <w:rPr>
      <w:rFonts w:ascii="Times New Roman" w:hAnsi="Times New Roman" w:eastAsia="Calibri" w:cs="Times New Roman"/>
      <w:sz w:val="20"/>
      <w:szCs w:val="20"/>
      <w:lang w:val="en-GB"/>
    </w:rPr>
  </w:style>
  <w:style w:type="character" w:customStyle="1" w:styleId="36">
    <w:name w:val="RAN4 Proposal Char"/>
    <w:basedOn w:val="34"/>
    <w:link w:val="33"/>
    <w:qFormat/>
    <w:uiPriority w:val="0"/>
    <w:rPr>
      <w:rFonts w:ascii="Times New Roman" w:hAnsi="Times New Roman" w:eastAsia="Calibri" w:cs="Times New Roman"/>
      <w:b/>
      <w:sz w:val="20"/>
      <w:szCs w:val="20"/>
      <w:lang w:val="en-GB"/>
    </w:rPr>
  </w:style>
  <w:style w:type="paragraph" w:customStyle="1" w:styleId="37">
    <w:name w:val="RAN4 proposal"/>
    <w:basedOn w:val="6"/>
    <w:next w:val="1"/>
    <w:link w:val="40"/>
    <w:qFormat/>
    <w:uiPriority w:val="0"/>
    <w:pPr>
      <w:numPr>
        <w:ilvl w:val="0"/>
        <w:numId w:val="3"/>
      </w:numPr>
      <w:ind w:left="0" w:firstLine="0"/>
      <w:jc w:val="left"/>
    </w:pPr>
    <w:rPr>
      <w:rFonts w:ascii="Times New Roman" w:hAnsi="Times New Roman"/>
      <w:b/>
      <w:i w:val="0"/>
      <w:sz w:val="22"/>
    </w:rPr>
  </w:style>
  <w:style w:type="paragraph" w:customStyle="1" w:styleId="38">
    <w:name w:val="TOC 标题1"/>
    <w:basedOn w:val="2"/>
    <w:next w:val="1"/>
    <w:unhideWhenUsed/>
    <w:qFormat/>
    <w:uiPriority w:val="39"/>
    <w:pPr>
      <w:outlineLvl w:val="9"/>
    </w:pPr>
  </w:style>
  <w:style w:type="character" w:customStyle="1" w:styleId="39">
    <w:name w:val="题注 Char"/>
    <w:basedOn w:val="20"/>
    <w:link w:val="6"/>
    <w:qFormat/>
    <w:uiPriority w:val="35"/>
    <w:rPr>
      <w:rFonts w:ascii="Arial" w:hAnsi="Arial"/>
      <w:i/>
      <w:iCs/>
      <w:sz w:val="18"/>
      <w:szCs w:val="18"/>
    </w:rPr>
  </w:style>
  <w:style w:type="character" w:customStyle="1" w:styleId="40">
    <w:name w:val="RAN4 proposal Char"/>
    <w:basedOn w:val="39"/>
    <w:link w:val="37"/>
    <w:qFormat/>
    <w:uiPriority w:val="0"/>
    <w:rPr>
      <w:rFonts w:ascii="Times New Roman" w:hAnsi="Times New Roman"/>
      <w:b/>
      <w:i w:val="0"/>
      <w:sz w:val="18"/>
      <w:szCs w:val="18"/>
    </w:rPr>
  </w:style>
  <w:style w:type="paragraph" w:customStyle="1" w:styleId="41">
    <w:name w:val="RAN4 observation"/>
    <w:basedOn w:val="31"/>
    <w:next w:val="1"/>
    <w:link w:val="42"/>
    <w:qFormat/>
    <w:uiPriority w:val="0"/>
    <w:pPr>
      <w:ind w:left="0" w:firstLine="0"/>
    </w:pPr>
    <w:rPr>
      <w:sz w:val="22"/>
    </w:rPr>
  </w:style>
  <w:style w:type="character" w:customStyle="1" w:styleId="42">
    <w:name w:val="RAN4 observation Char"/>
    <w:basedOn w:val="35"/>
    <w:link w:val="41"/>
    <w:qFormat/>
    <w:uiPriority w:val="0"/>
    <w:rPr>
      <w:rFonts w:ascii="Times New Roman" w:hAnsi="Times New Roman" w:eastAsia="Calibri" w:cs="Times New Roman"/>
      <w:sz w:val="20"/>
      <w:szCs w:val="20"/>
      <w:lang w:val="en-GB"/>
    </w:rPr>
  </w:style>
  <w:style w:type="character" w:customStyle="1" w:styleId="43">
    <w:name w:val="Unresolved Mention"/>
    <w:basedOn w:val="20"/>
    <w:semiHidden/>
    <w:unhideWhenUsed/>
    <w:qFormat/>
    <w:uiPriority w:val="99"/>
    <w:rPr>
      <w:color w:val="808080"/>
      <w:shd w:val="clear" w:color="auto" w:fill="E6E6E6"/>
    </w:rPr>
  </w:style>
  <w:style w:type="character" w:customStyle="1" w:styleId="44">
    <w:name w:val="标题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5">
    <w:name w:val="Doc-text2 Char"/>
    <w:link w:val="46"/>
    <w:qFormat/>
    <w:locked/>
    <w:uiPriority w:val="0"/>
    <w:rPr>
      <w:rFonts w:ascii="Arial" w:hAnsi="Arial" w:eastAsia="Times New Roman" w:cs="Arial"/>
      <w:lang w:val="zh-CN" w:eastAsia="zh-CN"/>
    </w:rPr>
  </w:style>
  <w:style w:type="paragraph" w:customStyle="1" w:styleId="46">
    <w:name w:val="Doc-text2"/>
    <w:basedOn w:val="1"/>
    <w:link w:val="45"/>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7">
    <w:name w:val="正文文本 Char"/>
    <w:basedOn w:val="20"/>
    <w:link w:val="8"/>
    <w:semiHidden/>
    <w:qFormat/>
    <w:uiPriority w:val="0"/>
    <w:rPr>
      <w:rFonts w:ascii="Arial" w:hAnsi="Arial"/>
      <w:lang w:val="da-DK" w:eastAsia="zh-CN"/>
    </w:rPr>
  </w:style>
  <w:style w:type="paragraph" w:customStyle="1" w:styleId="48">
    <w:name w:val="Agreement"/>
    <w:basedOn w:val="1"/>
    <w:next w:val="46"/>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9">
    <w:name w:val="TAL"/>
    <w:basedOn w:val="1"/>
    <w:link w:val="50"/>
    <w:qFormat/>
    <w:uiPriority w:val="0"/>
    <w:pPr>
      <w:keepNext/>
      <w:keepLines/>
      <w:spacing w:after="0" w:line="240" w:lineRule="auto"/>
    </w:pPr>
    <w:rPr>
      <w:rFonts w:ascii="Arial" w:hAnsi="Arial" w:eastAsia="Times New Roman" w:cs="Times New Roman"/>
      <w:sz w:val="18"/>
      <w:szCs w:val="20"/>
      <w:lang w:val="en-GB"/>
    </w:rPr>
  </w:style>
  <w:style w:type="character" w:customStyle="1" w:styleId="50">
    <w:name w:val="TAL Char"/>
    <w:link w:val="49"/>
    <w:qFormat/>
    <w:locked/>
    <w:uiPriority w:val="0"/>
    <w:rPr>
      <w:rFonts w:ascii="Arial" w:hAnsi="Arial" w:eastAsia="Times New Roman" w:cs="Times New Roman"/>
      <w:sz w:val="18"/>
      <w:szCs w:val="20"/>
      <w:lang w:val="en-GB"/>
    </w:rPr>
  </w:style>
  <w:style w:type="paragraph" w:customStyle="1" w:styleId="51">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2">
    <w:name w:val="EmailDiscussion"/>
    <w:basedOn w:val="1"/>
    <w:next w:val="1"/>
    <w:link w:val="53"/>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3">
    <w:name w:val="EmailDiscussion Char"/>
    <w:link w:val="52"/>
    <w:qFormat/>
    <w:uiPriority w:val="0"/>
    <w:rPr>
      <w:rFonts w:ascii="Arial" w:hAnsi="Arial" w:eastAsia="MS Mincho" w:cs="Times New Roman"/>
      <w:b/>
      <w:sz w:val="20"/>
      <w:szCs w:val="24"/>
      <w:lang w:val="en-GB" w:eastAsia="en-GB"/>
    </w:rPr>
  </w:style>
  <w:style w:type="character" w:customStyle="1" w:styleId="54">
    <w:name w:val="页眉 Char"/>
    <w:basedOn w:val="20"/>
    <w:link w:val="12"/>
    <w:semiHidden/>
    <w:qFormat/>
    <w:locked/>
    <w:uiPriority w:val="0"/>
    <w:rPr>
      <w:rFonts w:ascii="Tms Rmn" w:hAnsi="Tms Rmn"/>
      <w:b/>
      <w:sz w:val="18"/>
    </w:rPr>
  </w:style>
  <w:style w:type="character" w:customStyle="1" w:styleId="55">
    <w:name w:val="Header Char1"/>
    <w:basedOn w:val="20"/>
    <w:semiHidden/>
    <w:qFormat/>
    <w:uiPriority w:val="99"/>
    <w:rPr>
      <w:rFonts w:ascii="Times New Roman" w:hAnsi="Times New Roman"/>
      <w:sz w:val="20"/>
    </w:rPr>
  </w:style>
  <w:style w:type="character" w:customStyle="1" w:styleId="56">
    <w:name w:val="批注框文本 Char"/>
    <w:basedOn w:val="20"/>
    <w:link w:val="11"/>
    <w:semiHidden/>
    <w:qFormat/>
    <w:uiPriority w:val="99"/>
    <w:rPr>
      <w:rFonts w:ascii="Segoe UI" w:hAnsi="Segoe UI" w:cs="Segoe UI"/>
      <w:sz w:val="18"/>
      <w:szCs w:val="18"/>
    </w:rPr>
  </w:style>
  <w:style w:type="character" w:customStyle="1" w:styleId="57">
    <w:name w:val="CR Cover Page Zchn"/>
    <w:link w:val="58"/>
    <w:qFormat/>
    <w:locked/>
    <w:uiPriority w:val="0"/>
    <w:rPr>
      <w:rFonts w:ascii="Arial" w:hAnsi="Arial" w:cs="Arial"/>
      <w:lang w:val="en-GB"/>
    </w:rPr>
  </w:style>
  <w:style w:type="paragraph" w:customStyle="1" w:styleId="58">
    <w:name w:val="CR Cover Page"/>
    <w:link w:val="57"/>
    <w:qFormat/>
    <w:uiPriority w:val="0"/>
    <w:pPr>
      <w:spacing w:after="120"/>
    </w:pPr>
    <w:rPr>
      <w:rFonts w:ascii="Arial" w:hAnsi="Arial" w:cs="Arial" w:eastAsiaTheme="minorHAnsi"/>
      <w:sz w:val="22"/>
      <w:szCs w:val="22"/>
      <w:lang w:val="en-GB" w:eastAsia="en-US" w:bidi="ar-SA"/>
    </w:rPr>
  </w:style>
  <w:style w:type="character" w:customStyle="1" w:styleId="59">
    <w:name w:val="批注文字 Char"/>
    <w:basedOn w:val="20"/>
    <w:link w:val="7"/>
    <w:semiHidden/>
    <w:qFormat/>
    <w:uiPriority w:val="99"/>
    <w:rPr>
      <w:rFonts w:ascii="Times New Roman" w:hAnsi="Times New Roman"/>
      <w:sz w:val="20"/>
      <w:szCs w:val="20"/>
    </w:rPr>
  </w:style>
  <w:style w:type="character" w:customStyle="1" w:styleId="60">
    <w:name w:val="批注主题 Char"/>
    <w:basedOn w:val="59"/>
    <w:link w:val="17"/>
    <w:semiHidden/>
    <w:qFormat/>
    <w:uiPriority w:val="99"/>
    <w:rPr>
      <w:rFonts w:ascii="Times New Roman" w:hAnsi="Times New Roman"/>
      <w:b/>
      <w:bCs/>
      <w:sz w:val="20"/>
      <w:szCs w:val="20"/>
    </w:rPr>
  </w:style>
  <w:style w:type="paragraph" w:customStyle="1" w:styleId="61">
    <w:name w:val="3GPP Normal Text"/>
    <w:basedOn w:val="8"/>
    <w:link w:val="62"/>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2">
    <w:name w:val="3GPP Normal Text Char"/>
    <w:link w:val="61"/>
    <w:qFormat/>
    <w:uiPriority w:val="0"/>
    <w:rPr>
      <w:rFonts w:ascii="Times New Roman" w:hAnsi="Times New Roman" w:eastAsia="MS Mincho" w:cs="Arial"/>
      <w:sz w:val="20"/>
      <w:szCs w:val="24"/>
    </w:rPr>
  </w:style>
  <w:style w:type="paragraph" w:customStyle="1" w:styleId="63">
    <w:name w:val="Default"/>
    <w:qFormat/>
    <w:uiPriority w:val="0"/>
    <w:pPr>
      <w:autoSpaceDE w:val="0"/>
      <w:autoSpaceDN w:val="0"/>
      <w:adjustRightInd w:val="0"/>
    </w:pPr>
    <w:rPr>
      <w:rFonts w:ascii="Arial" w:hAnsi="Arial" w:eastAsia="Times New Roman" w:cs="Arial"/>
      <w:color w:val="000000"/>
      <w:sz w:val="24"/>
      <w:szCs w:val="24"/>
      <w:lang w:val="en-US" w:eastAsia="en-US" w:bidi="ar-SA"/>
    </w:rPr>
  </w:style>
  <w:style w:type="paragraph" w:customStyle="1" w:styleId="64">
    <w:name w:val="TH"/>
    <w:basedOn w:val="1"/>
    <w:qFormat/>
    <w:uiPriority w:val="0"/>
    <w:pPr>
      <w:keepNext/>
      <w:keepLines/>
      <w:spacing w:before="60"/>
      <w:jc w:val="center"/>
    </w:pPr>
    <w:rPr>
      <w:rFonts w:ascii="Arial" w:hAnsi="Arial"/>
      <w:b/>
      <w:lang w:eastAsia="zh-CN"/>
    </w:rPr>
  </w:style>
  <w:style w:type="paragraph" w:customStyle="1" w:styleId="65">
    <w:name w:val="NO"/>
    <w:basedOn w:val="1"/>
    <w:qFormat/>
    <w:uiPriority w:val="0"/>
    <w:pPr>
      <w:keepLines/>
      <w:ind w:left="1135" w:hanging="851"/>
    </w:pPr>
    <w:rPr>
      <w:lang w:eastAsia="zh-CN"/>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7">
    <w:name w:val="B1"/>
    <w:basedOn w:val="10"/>
    <w:qFormat/>
    <w:uiPriority w:val="0"/>
  </w:style>
  <w:style w:type="paragraph" w:customStyle="1" w:styleId="68">
    <w:name w:val="TF"/>
    <w:basedOn w:val="64"/>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73285D-2887-45E3-A024-3D1E71CC8E74}">
  <ds:schemaRefs/>
</ds:datastoreItem>
</file>

<file path=customXml/itemProps3.xml><?xml version="1.0" encoding="utf-8"?>
<ds:datastoreItem xmlns:ds="http://schemas.openxmlformats.org/officeDocument/2006/customXml" ds:itemID="{E8E32C24-5F96-4713-A70F-A7BA20BB6CD6}">
  <ds:schemaRefs/>
</ds:datastoreItem>
</file>

<file path=customXml/itemProps4.xml><?xml version="1.0" encoding="utf-8"?>
<ds:datastoreItem xmlns:ds="http://schemas.openxmlformats.org/officeDocument/2006/customXml" ds:itemID="{17870EBA-560E-4E7C-A664-22A449C60D13}">
  <ds:schemaRefs/>
</ds:datastoreItem>
</file>

<file path=customXml/itemProps5.xml><?xml version="1.0" encoding="utf-8"?>
<ds:datastoreItem xmlns:ds="http://schemas.openxmlformats.org/officeDocument/2006/customXml" ds:itemID="{EAA4E9F1-3478-4E48-ACB7-A0EA7CF8F594}">
  <ds:schemaRefs/>
</ds:datastoreItem>
</file>

<file path=customXml/itemProps6.xml><?xml version="1.0" encoding="utf-8"?>
<ds:datastoreItem xmlns:ds="http://schemas.openxmlformats.org/officeDocument/2006/customXml" ds:itemID="{DDD117E1-8C1C-466A-8D7F-EAF64C1488C0}">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Template>
  <Pages>4</Pages>
  <Words>955</Words>
  <Characters>5450</Characters>
  <Lines>45</Lines>
  <Paragraphs>12</Paragraphs>
  <TotalTime>66</TotalTime>
  <ScaleCrop>false</ScaleCrop>
  <LinksUpToDate>false</LinksUpToDate>
  <CharactersWithSpaces>6393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LiNan</cp:lastModifiedBy>
  <cp:lastPrinted>2019-04-29T06:52:00Z</cp:lastPrinted>
  <dcterms:modified xsi:type="dcterms:W3CDTF">2022-01-10T06:47:46Z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