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0F" w:rsidRPr="00DC3A0B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8636BE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NR AH1807</w:t>
      </w:r>
      <w:r w:rsidR="001A243D">
        <w:rPr>
          <w:rFonts w:ascii="Arial" w:eastAsia="新細明體" w:hAnsi="Arial" w:cs="Arial"/>
          <w:b/>
          <w:kern w:val="0"/>
          <w:szCs w:val="24"/>
          <w:lang w:val="de-DE"/>
        </w:rPr>
        <w:t xml:space="preserve"> Meeting</w:t>
      </w:r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0D7FD3">
        <w:rPr>
          <w:rFonts w:ascii="Arial" w:eastAsia="新細明體" w:hAnsi="Arial" w:cs="Arial"/>
          <w:b/>
          <w:kern w:val="0"/>
          <w:szCs w:val="24"/>
          <w:lang w:val="de-DE" w:eastAsia="zh-CN"/>
        </w:rPr>
        <w:t>8</w:t>
      </w:r>
      <w:r w:rsidR="00DA6670" w:rsidRPr="00DA6670">
        <w:rPr>
          <w:rFonts w:ascii="Arial" w:eastAsia="新細明體" w:hAnsi="Arial" w:cs="Arial"/>
          <w:b/>
          <w:kern w:val="0"/>
          <w:szCs w:val="24"/>
          <w:lang w:val="de-DE" w:eastAsia="zh-CN"/>
        </w:rPr>
        <w:t>10468</w:t>
      </w:r>
    </w:p>
    <w:p w:rsidR="00C4580F" w:rsidRPr="00521AE1" w:rsidRDefault="001A243D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>
        <w:rPr>
          <w:rFonts w:ascii="Arial" w:eastAsia="新細明體" w:hAnsi="Arial" w:cs="Arial"/>
          <w:b/>
          <w:kern w:val="0"/>
          <w:szCs w:val="24"/>
          <w:lang w:val="de-DE"/>
        </w:rPr>
        <w:t>Montreal, Canada, 2nd - 6th July</w:t>
      </w:r>
      <w:r w:rsidR="000D7FD3" w:rsidRPr="000D7FD3">
        <w:rPr>
          <w:rFonts w:ascii="Arial" w:eastAsia="新細明體" w:hAnsi="Arial" w:cs="Arial"/>
          <w:b/>
          <w:kern w:val="0"/>
          <w:szCs w:val="24"/>
          <w:lang w:val="de-DE"/>
        </w:rPr>
        <w:t xml:space="preserve"> 201</w:t>
      </w:r>
      <w:r w:rsidR="00DC3A0B" w:rsidRPr="00DC3A0B">
        <w:rPr>
          <w:rFonts w:ascii="Arial" w:eastAsia="新細明體" w:hAnsi="Arial" w:cs="Arial"/>
          <w:b/>
          <w:kern w:val="0"/>
          <w:szCs w:val="24"/>
          <w:lang w:val="de-DE"/>
        </w:rPr>
        <w:t>8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            </w:t>
      </w:r>
      <w:r w:rsidR="0061303A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5F1927">
        <w:rPr>
          <w:rFonts w:ascii="Arial" w:eastAsia="新細明體" w:hAnsi="Arial" w:cs="Arial"/>
          <w:b/>
          <w:kern w:val="0"/>
          <w:szCs w:val="24"/>
        </w:rPr>
        <w:t>11.1</w:t>
      </w:r>
      <w:r w:rsidR="008636BE">
        <w:rPr>
          <w:rFonts w:ascii="Arial" w:eastAsia="新細明體" w:hAnsi="Arial" w:cs="Arial" w:hint="eastAsia"/>
          <w:b/>
          <w:kern w:val="0"/>
          <w:szCs w:val="24"/>
        </w:rPr>
        <w:t>.3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ource: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521AE1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A55EC5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Related issues of topology management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C4580F" w:rsidRPr="000A130E" w:rsidRDefault="000A130E" w:rsidP="00331300">
      <w:pPr>
        <w:jc w:val="both"/>
      </w:pPr>
      <w:r>
        <w:rPr>
          <w:rFonts w:ascii="Arial" w:eastAsia="新細明體" w:hAnsi="Arial" w:cs="Arial"/>
          <w:kern w:val="0"/>
          <w:sz w:val="22"/>
          <w:lang w:val="en-GB"/>
        </w:rPr>
        <w:t>RAN3 agreed to consider the Spanning tree (ST) and Directed acyclic graph (DAG) in the study of IAB topologies</w:t>
      </w:r>
      <w:r w:rsidR="00B730EC">
        <w:rPr>
          <w:rFonts w:ascii="Arial" w:eastAsia="新細明體" w:hAnsi="Arial" w:cs="Arial"/>
          <w:kern w:val="0"/>
          <w:sz w:val="22"/>
          <w:lang w:val="en-GB"/>
        </w:rPr>
        <w:t xml:space="preserve"> [1]</w:t>
      </w:r>
      <w:r w:rsidR="007017E4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F67C1E">
        <w:rPr>
          <w:rFonts w:ascii="Arial" w:eastAsia="新細明體" w:hAnsi="Arial" w:cs="Arial"/>
          <w:kern w:val="0"/>
          <w:sz w:val="22"/>
          <w:lang w:val="en-GB"/>
        </w:rPr>
        <w:t>i</w:t>
      </w:r>
      <w:r w:rsidR="007017E4">
        <w:rPr>
          <w:rFonts w:ascii="Arial" w:eastAsia="新細明體" w:hAnsi="Arial" w:cs="Arial"/>
          <w:kern w:val="0"/>
          <w:sz w:val="22"/>
          <w:lang w:val="en-GB"/>
        </w:rPr>
        <w:t>n RAN3 #100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E25BBB">
        <w:rPr>
          <w:rFonts w:ascii="Arial" w:eastAsia="新細明體" w:hAnsi="Arial" w:cs="Arial"/>
          <w:kern w:val="0"/>
          <w:sz w:val="22"/>
          <w:lang w:val="en-GB"/>
        </w:rPr>
        <w:t>B</w:t>
      </w:r>
      <w:r w:rsidR="0015775D">
        <w:rPr>
          <w:rFonts w:ascii="Arial" w:eastAsia="新細明體" w:hAnsi="Arial" w:cs="Arial" w:hint="eastAsia"/>
          <w:kern w:val="0"/>
          <w:sz w:val="22"/>
          <w:lang w:val="en-GB"/>
        </w:rPr>
        <w:t xml:space="preserve">ased on </w:t>
      </w:r>
      <w:r w:rsidR="0015775D">
        <w:rPr>
          <w:rFonts w:ascii="Arial" w:eastAsia="新細明體" w:hAnsi="Arial" w:cs="Arial"/>
          <w:kern w:val="0"/>
          <w:sz w:val="22"/>
          <w:lang w:val="en-GB"/>
        </w:rPr>
        <w:t>the</w:t>
      </w:r>
      <w:r w:rsidR="00DD72C8">
        <w:rPr>
          <w:rFonts w:ascii="Arial" w:eastAsia="新細明體" w:hAnsi="Arial" w:cs="Arial" w:hint="eastAsia"/>
          <w:kern w:val="0"/>
          <w:sz w:val="22"/>
          <w:lang w:val="en-GB"/>
        </w:rPr>
        <w:t xml:space="preserve"> progress in RAN3, we recommend RAN2 </w:t>
      </w:r>
      <w:r w:rsidR="00413D1A">
        <w:rPr>
          <w:rFonts w:ascii="Arial" w:eastAsia="新細明體" w:hAnsi="Arial" w:cs="Arial" w:hint="eastAsia"/>
          <w:kern w:val="0"/>
          <w:sz w:val="22"/>
          <w:lang w:val="en-GB"/>
        </w:rPr>
        <w:t xml:space="preserve">to support this and take </w:t>
      </w:r>
      <w:r w:rsidR="00413D1A" w:rsidRPr="00413D1A">
        <w:rPr>
          <w:rFonts w:ascii="Arial" w:eastAsia="新細明體" w:hAnsi="Arial" w:cs="Arial"/>
          <w:kern w:val="0"/>
          <w:sz w:val="22"/>
          <w:lang w:val="en-GB"/>
        </w:rPr>
        <w:t>NR Dual Connectivity as the baseline</w:t>
      </w:r>
      <w:r w:rsidR="00464DDE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A71EF5">
        <w:rPr>
          <w:rFonts w:ascii="Arial" w:eastAsia="新細明體" w:hAnsi="Arial" w:cs="Arial"/>
          <w:kern w:val="0"/>
          <w:sz w:val="22"/>
          <w:lang w:val="en-GB"/>
        </w:rPr>
        <w:t>About the RRM enhancement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, since the IAB nodes are physically fixed, it is beneficial </w:t>
      </w:r>
      <w:r w:rsidR="00A71EF5">
        <w:rPr>
          <w:rFonts w:ascii="Arial" w:eastAsia="新細明體" w:hAnsi="Arial" w:cs="Arial"/>
          <w:kern w:val="0"/>
          <w:sz w:val="22"/>
          <w:lang w:val="en-GB"/>
        </w:rPr>
        <w:t xml:space="preserve">for the periodical measurement report with a larger periodicity.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0" w:name="OLE_LINK46"/>
      <w:bookmarkStart w:id="1" w:name="OLE_LINK47"/>
      <w:bookmarkStart w:id="2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0"/>
      <w:bookmarkEnd w:id="1"/>
      <w:bookmarkEnd w:id="2"/>
    </w:p>
    <w:p w:rsidR="00376B35" w:rsidRPr="00376B35" w:rsidRDefault="00376B35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2.1 </w:t>
      </w:r>
      <w:r>
        <w:rPr>
          <w:rFonts w:ascii="Arial" w:eastAsia="新細明體" w:hAnsi="Arial" w:cs="Arial"/>
          <w:kern w:val="0"/>
          <w:sz w:val="28"/>
          <w:szCs w:val="28"/>
          <w:lang w:val="en-GB"/>
        </w:rPr>
        <w:t>Topology Adaptation</w:t>
      </w:r>
      <w:r w:rsidR="007017E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</w:p>
    <w:p w:rsidR="00B730EC" w:rsidRDefault="00B730EC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R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AN3 had agreed to consider the ST and DAG in the study of IAB topologies last meeting. ST is simple because each IAB-node has only one parent node, and only one route exists between IAB-node and the IAB-donor. DAG is a little more complex, </w:t>
      </w:r>
      <w:r w:rsidR="00936A2A">
        <w:rPr>
          <w:rFonts w:ascii="Arial" w:eastAsia="新細明體" w:hAnsi="Arial" w:cs="Arial"/>
          <w:kern w:val="0"/>
          <w:sz w:val="22"/>
          <w:lang w:val="en-GB"/>
        </w:rPr>
        <w:t xml:space="preserve">and the following options are considered </w:t>
      </w:r>
      <w:r>
        <w:rPr>
          <w:rFonts w:ascii="Arial" w:eastAsia="新細明體" w:hAnsi="Arial" w:cs="Arial"/>
          <w:kern w:val="0"/>
          <w:sz w:val="22"/>
          <w:lang w:val="en-GB"/>
        </w:rPr>
        <w:t>for link- and route redundancy in [1]</w:t>
      </w:r>
      <w:r w:rsidR="00936A2A">
        <w:rPr>
          <w:rFonts w:ascii="Arial" w:eastAsia="新細明體" w:hAnsi="Arial" w:cs="Arial"/>
          <w:kern w:val="0"/>
          <w:sz w:val="22"/>
          <w:lang w:val="en-GB"/>
        </w:rPr>
        <w:t>,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</w:p>
    <w:p w:rsidR="00936A2A" w:rsidRPr="00936A2A" w:rsidRDefault="00936A2A" w:rsidP="00936A2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200" w:left="480"/>
        <w:jc w:val="both"/>
        <w:rPr>
          <w:rFonts w:ascii="Arial" w:eastAsia="新細明體" w:hAnsi="Arial" w:cs="Arial"/>
          <w:i/>
          <w:kern w:val="0"/>
          <w:sz w:val="20"/>
          <w:lang w:val="en-GB"/>
        </w:rPr>
      </w:pPr>
      <w:r w:rsidRPr="00936A2A">
        <w:rPr>
          <w:rFonts w:ascii="Arial" w:eastAsia="新細明體" w:hAnsi="Arial" w:cs="Arial"/>
          <w:i/>
          <w:kern w:val="0"/>
          <w:sz w:val="20"/>
          <w:lang w:val="en-GB"/>
        </w:rPr>
        <w:t>- The IAB-node is multi-connected, i.e., it has links to mult</w:t>
      </w:r>
      <w:r>
        <w:rPr>
          <w:rFonts w:ascii="Arial" w:eastAsia="新細明體" w:hAnsi="Arial" w:cs="Arial"/>
          <w:i/>
          <w:kern w:val="0"/>
          <w:sz w:val="20"/>
          <w:lang w:val="en-GB"/>
        </w:rPr>
        <w:t>iple parent nodes</w:t>
      </w:r>
    </w:p>
    <w:p w:rsidR="00936A2A" w:rsidRPr="00936A2A" w:rsidRDefault="00936A2A" w:rsidP="00936A2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200" w:left="480"/>
        <w:jc w:val="both"/>
        <w:rPr>
          <w:rFonts w:ascii="Arial" w:eastAsia="新細明體" w:hAnsi="Arial" w:cs="Arial"/>
          <w:i/>
          <w:kern w:val="0"/>
          <w:sz w:val="20"/>
          <w:lang w:val="en-GB"/>
        </w:rPr>
      </w:pPr>
      <w:r w:rsidRPr="00936A2A">
        <w:rPr>
          <w:rFonts w:ascii="Arial" w:eastAsia="新細明體" w:hAnsi="Arial" w:cs="Arial"/>
          <w:i/>
          <w:kern w:val="0"/>
          <w:sz w:val="20"/>
          <w:lang w:val="en-GB"/>
        </w:rPr>
        <w:t xml:space="preserve">- The IAB-node has multiple routes to another node, </w:t>
      </w:r>
      <w:r>
        <w:rPr>
          <w:rFonts w:ascii="Arial" w:eastAsia="新細明體" w:hAnsi="Arial" w:cs="Arial"/>
          <w:i/>
          <w:kern w:val="0"/>
          <w:sz w:val="20"/>
          <w:lang w:val="en-GB"/>
        </w:rPr>
        <w:t>e.g. the IAB-donor</w:t>
      </w:r>
    </w:p>
    <w:p w:rsidR="00B730EC" w:rsidRPr="00F80045" w:rsidRDefault="00936A2A" w:rsidP="00F8004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ind w:leftChars="200" w:left="480"/>
        <w:jc w:val="both"/>
        <w:rPr>
          <w:rFonts w:ascii="Arial" w:eastAsia="新細明體" w:hAnsi="Arial" w:cs="Arial"/>
          <w:i/>
          <w:kern w:val="0"/>
          <w:sz w:val="20"/>
          <w:lang w:val="en-GB"/>
        </w:rPr>
      </w:pPr>
      <w:r w:rsidRPr="00936A2A">
        <w:rPr>
          <w:rFonts w:ascii="Arial" w:eastAsia="新細明體" w:hAnsi="Arial" w:cs="Arial"/>
          <w:i/>
          <w:kern w:val="0"/>
          <w:sz w:val="20"/>
          <w:lang w:val="en-GB"/>
        </w:rPr>
        <w:t>- Both options can be combined, i.e., the IAB-node may have redundant routes to another node vi</w:t>
      </w:r>
      <w:r>
        <w:rPr>
          <w:rFonts w:ascii="Arial" w:eastAsia="新細明體" w:hAnsi="Arial" w:cs="Arial"/>
          <w:i/>
          <w:kern w:val="0"/>
          <w:sz w:val="20"/>
          <w:lang w:val="en-GB"/>
        </w:rPr>
        <w:t>a multiple parents</w:t>
      </w:r>
    </w:p>
    <w:p w:rsidR="00F80045" w:rsidRPr="003938F1" w:rsidRDefault="007017E4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For</w:t>
      </w:r>
      <w:r w:rsidRPr="007017E4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kern w:val="0"/>
          <w:sz w:val="22"/>
          <w:lang w:val="en-GB"/>
        </w:rPr>
        <w:t>the architecture requirements</w:t>
      </w:r>
      <w:r w:rsidR="00F80045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in </w:t>
      </w:r>
      <w:r w:rsidR="00AA612B">
        <w:rPr>
          <w:rFonts w:ascii="Arial" w:eastAsia="新細明體" w:hAnsi="Arial" w:cs="Arial"/>
          <w:kern w:val="0"/>
          <w:sz w:val="22"/>
          <w:lang w:val="en-GB"/>
        </w:rPr>
        <w:t>TR 38.874, it had stated that, “</w:t>
      </w:r>
      <w:r w:rsidR="00AA612B" w:rsidRPr="00AA612B">
        <w:rPr>
          <w:rFonts w:ascii="Arial" w:eastAsia="新細明體" w:hAnsi="Arial" w:cs="Arial"/>
          <w:i/>
          <w:kern w:val="0"/>
          <w:sz w:val="22"/>
          <w:lang w:val="en-GB"/>
        </w:rPr>
        <w:t>The study should strive to maximize the reuse of Rel-15 NR specifications for the design of the backhaul link. Enhancement can also be considered.</w:t>
      </w:r>
      <w:r>
        <w:rPr>
          <w:rFonts w:ascii="Arial" w:eastAsia="新細明體" w:hAnsi="Arial" w:cs="Arial"/>
          <w:kern w:val="0"/>
          <w:sz w:val="22"/>
          <w:lang w:val="en-GB"/>
        </w:rPr>
        <w:t>”</w:t>
      </w:r>
      <w:r w:rsidR="00AA612B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AA612B">
        <w:rPr>
          <w:rFonts w:ascii="Arial" w:eastAsia="新細明體" w:hAnsi="Arial" w:cs="Arial" w:hint="eastAsia"/>
          <w:kern w:val="0"/>
          <w:sz w:val="22"/>
          <w:lang w:val="en-GB"/>
        </w:rPr>
        <w:t xml:space="preserve">Also, we think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that </w:t>
      </w:r>
      <w:r w:rsidR="00AA612B">
        <w:rPr>
          <w:rFonts w:ascii="Arial" w:eastAsia="新細明體" w:hAnsi="Arial" w:cs="Arial" w:hint="eastAsia"/>
          <w:kern w:val="0"/>
          <w:sz w:val="22"/>
          <w:lang w:val="en-GB"/>
        </w:rPr>
        <w:t>from RAN2</w:t>
      </w:r>
      <w:r w:rsidR="00AA612B">
        <w:rPr>
          <w:rFonts w:ascii="Arial" w:eastAsia="新細明體" w:hAnsi="Arial" w:cs="Arial"/>
          <w:kern w:val="0"/>
          <w:sz w:val="22"/>
          <w:lang w:val="en-GB"/>
        </w:rPr>
        <w:t xml:space="preserve">’s point of view,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presently </w:t>
      </w:r>
      <w:r>
        <w:rPr>
          <w:rFonts w:ascii="Arial" w:eastAsia="新細明體" w:hAnsi="Arial" w:cs="Arial"/>
          <w:kern w:val="0"/>
          <w:sz w:val="22"/>
          <w:lang w:val="en-GB"/>
        </w:rPr>
        <w:t>it is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AA612B">
        <w:rPr>
          <w:rFonts w:ascii="Arial" w:eastAsia="新細明體" w:hAnsi="Arial" w:cs="Arial"/>
          <w:kern w:val="0"/>
          <w:sz w:val="22"/>
          <w:lang w:val="en-GB"/>
        </w:rPr>
        <w:t>too complic</w:t>
      </w:r>
      <w:r w:rsidR="00331300">
        <w:rPr>
          <w:rFonts w:ascii="Arial" w:eastAsia="新細明體" w:hAnsi="Arial" w:cs="Arial"/>
          <w:kern w:val="0"/>
          <w:sz w:val="22"/>
          <w:lang w:val="en-GB"/>
        </w:rPr>
        <w:t>ated to design the new multiple-</w:t>
      </w:r>
      <w:r w:rsidR="005A621F">
        <w:rPr>
          <w:rFonts w:ascii="Arial" w:eastAsia="新細明體" w:hAnsi="Arial" w:cs="Arial"/>
          <w:kern w:val="0"/>
          <w:sz w:val="22"/>
          <w:lang w:val="en-GB"/>
        </w:rPr>
        <w:t>connectivity procedures.</w:t>
      </w:r>
      <w:r w:rsidR="005A621F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5A621F">
        <w:rPr>
          <w:rFonts w:ascii="Arial" w:eastAsia="新細明體" w:hAnsi="Arial" w:cs="Arial"/>
          <w:kern w:val="0"/>
          <w:sz w:val="22"/>
          <w:lang w:val="en-GB"/>
        </w:rPr>
        <w:t xml:space="preserve">IAB Node Dual Connectivity based on LTE/NR Dual-Connectivity is supposed to be a good starting point for the DAG construction. </w:t>
      </w:r>
      <w:bookmarkStart w:id="3" w:name="_GoBack"/>
      <w:bookmarkEnd w:id="3"/>
      <w:r w:rsidR="00331300">
        <w:rPr>
          <w:rFonts w:ascii="Arial" w:eastAsia="新細明體" w:hAnsi="Arial" w:cs="Arial"/>
          <w:kern w:val="0"/>
          <w:sz w:val="22"/>
          <w:lang w:val="en-GB"/>
        </w:rPr>
        <w:t>Since</w:t>
      </w:r>
      <w:r w:rsidR="00AA612B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206EB0">
        <w:rPr>
          <w:rFonts w:ascii="Arial" w:eastAsia="新細明體" w:hAnsi="Arial" w:cs="Arial"/>
          <w:kern w:val="0"/>
          <w:sz w:val="22"/>
          <w:lang w:val="en-GB"/>
        </w:rPr>
        <w:t xml:space="preserve">IAB study item had been decided to be shifted </w:t>
      </w:r>
      <w:r w:rsidR="00331300">
        <w:rPr>
          <w:rFonts w:ascii="Arial" w:eastAsia="新細明體" w:hAnsi="Arial" w:cs="Arial"/>
          <w:kern w:val="0"/>
          <w:sz w:val="22"/>
          <w:lang w:val="en-GB"/>
        </w:rPr>
        <w:t>to REL-16 in RAN plenary #80</w:t>
      </w:r>
      <w:r w:rsidR="00206EB0">
        <w:rPr>
          <w:rFonts w:ascii="Arial" w:eastAsia="新細明體" w:hAnsi="Arial" w:cs="Arial"/>
          <w:kern w:val="0"/>
          <w:sz w:val="22"/>
          <w:lang w:val="en-GB"/>
        </w:rPr>
        <w:t xml:space="preserve">, </w:t>
      </w:r>
      <w:r w:rsidR="001454A1">
        <w:rPr>
          <w:rFonts w:ascii="Arial" w:eastAsia="新細明體" w:hAnsi="Arial" w:cs="Arial"/>
          <w:kern w:val="0"/>
          <w:sz w:val="22"/>
          <w:lang w:val="en-GB"/>
        </w:rPr>
        <w:t>we propose that RAN2 should</w:t>
      </w:r>
      <w:r w:rsidR="005A621F">
        <w:rPr>
          <w:rFonts w:ascii="Arial" w:eastAsia="新細明體" w:hAnsi="Arial" w:cs="Arial"/>
          <w:kern w:val="0"/>
          <w:sz w:val="22"/>
          <w:lang w:val="en-GB"/>
        </w:rPr>
        <w:t xml:space="preserve"> take IAB</w:t>
      </w:r>
      <w:r w:rsidR="00206EB0">
        <w:rPr>
          <w:rFonts w:ascii="Arial" w:eastAsia="新細明體" w:hAnsi="Arial" w:cs="Arial"/>
          <w:kern w:val="0"/>
          <w:sz w:val="22"/>
          <w:lang w:val="en-GB"/>
        </w:rPr>
        <w:t xml:space="preserve"> Dual Connectivity as the baseline</w:t>
      </w:r>
      <w:r w:rsidR="00841150">
        <w:rPr>
          <w:rFonts w:ascii="Arial" w:eastAsia="新細明體" w:hAnsi="Arial" w:cs="Arial"/>
          <w:kern w:val="0"/>
          <w:sz w:val="22"/>
          <w:lang w:val="en-GB"/>
        </w:rPr>
        <w:t xml:space="preserve"> for the topology adaptation issue</w:t>
      </w:r>
      <w:r w:rsidR="00331300">
        <w:rPr>
          <w:rFonts w:ascii="Arial" w:eastAsia="新細明體" w:hAnsi="Arial" w:cs="Arial"/>
          <w:kern w:val="0"/>
          <w:sz w:val="22"/>
          <w:lang w:val="en-GB"/>
        </w:rPr>
        <w:t xml:space="preserve"> in Rel-16</w:t>
      </w:r>
      <w:r w:rsidR="00206EB0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</w:p>
    <w:p w:rsidR="00BE6A33" w:rsidRPr="00BE6A33" w:rsidRDefault="00206EB0" w:rsidP="00BE6A33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</w:t>
      </w:r>
      <w:r w:rsidRPr="00206EB0">
        <w:rPr>
          <w:rFonts w:ascii="Arial" w:eastAsia="新細明體" w:hAnsi="Arial" w:cs="Arial"/>
          <w:b/>
          <w:kern w:val="0"/>
          <w:sz w:val="22"/>
          <w:lang w:val="en-GB"/>
        </w:rPr>
        <w:t>IAB Node Dual Connectivity should be supported as the baseline for topology adaptation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  <w:r w:rsidR="00BE6A33" w:rsidRPr="002470F1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</w:p>
    <w:p w:rsidR="00DB5D74" w:rsidRDefault="00DB5D74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DB5D74" w:rsidRDefault="00982E0C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For an IAB</w:t>
      </w:r>
      <w:r>
        <w:rPr>
          <w:rFonts w:ascii="Arial" w:eastAsia="新細明體" w:hAnsi="Arial" w:cs="Arial"/>
          <w:kern w:val="0"/>
          <w:sz w:val="22"/>
          <w:lang w:val="en-GB"/>
        </w:rPr>
        <w:t>-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>node connect</w:t>
      </w:r>
      <w:r w:rsidR="00652446">
        <w:rPr>
          <w:rFonts w:ascii="Arial" w:eastAsia="新細明體" w:hAnsi="Arial" w:cs="Arial" w:hint="eastAsia"/>
          <w:kern w:val="0"/>
          <w:sz w:val="22"/>
          <w:lang w:val="en-GB"/>
        </w:rPr>
        <w:t xml:space="preserve">ing to two IAB-donors, 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the </w:t>
      </w:r>
      <w:r w:rsidR="00652446">
        <w:rPr>
          <w:rFonts w:ascii="Arial" w:eastAsia="新細明體" w:hAnsi="Arial" w:cs="Arial" w:hint="eastAsia"/>
          <w:kern w:val="0"/>
          <w:sz w:val="22"/>
          <w:lang w:val="en-GB"/>
        </w:rPr>
        <w:t xml:space="preserve">LTE/NR 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>D</w:t>
      </w:r>
      <w:r w:rsidR="00652446">
        <w:rPr>
          <w:rFonts w:ascii="Arial" w:eastAsia="新細明體" w:hAnsi="Arial" w:cs="Arial" w:hint="eastAsia"/>
          <w:kern w:val="0"/>
          <w:sz w:val="22"/>
          <w:lang w:val="en-GB"/>
        </w:rPr>
        <w:t>ual-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>C</w:t>
      </w:r>
      <w:r w:rsidR="00652446">
        <w:rPr>
          <w:rFonts w:ascii="Arial" w:eastAsia="新細明體" w:hAnsi="Arial" w:cs="Arial" w:hint="eastAsia"/>
          <w:kern w:val="0"/>
          <w:sz w:val="22"/>
          <w:lang w:val="en-GB"/>
        </w:rPr>
        <w:t>onnectivity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 procedures</w:t>
      </w:r>
      <w:r w:rsidR="00652446">
        <w:rPr>
          <w:rFonts w:ascii="Arial" w:eastAsia="新細明體" w:hAnsi="Arial" w:cs="Arial" w:hint="eastAsia"/>
          <w:kern w:val="0"/>
          <w:sz w:val="22"/>
          <w:lang w:val="en-GB"/>
        </w:rPr>
        <w:t xml:space="preserve"> may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 be directly applied. For an IAB-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node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connect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>ing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 xml:space="preserve"> to 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 xml:space="preserve">two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upstream IAB-node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, we understand that the data forwa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rding procedure and routing limited in RAN area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need some enhancement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>s. For example, if only one activated path is allowed between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 the source and destination IAB-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>nod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e, when the child </w:t>
      </w:r>
      <w:r w:rsidR="00804599">
        <w:rPr>
          <w:rFonts w:ascii="Arial" w:eastAsia="新細明體" w:hAnsi="Arial" w:cs="Arial" w:hint="eastAsia"/>
          <w:kern w:val="0"/>
          <w:sz w:val="22"/>
          <w:lang w:val="en-GB"/>
        </w:rPr>
        <w:t>IAB-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>node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 xml:space="preserve"> performs a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F93E13">
        <w:rPr>
          <w:rFonts w:ascii="Arial" w:eastAsia="新細明體" w:hAnsi="Arial" w:cs="Arial"/>
          <w:kern w:val="0"/>
          <w:sz w:val="22"/>
          <w:lang w:val="en-GB"/>
        </w:rPr>
        <w:t>handover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 from the source upstream IAB-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>node to the target upstream</w:t>
      </w:r>
      <w:r w:rsidR="001B3D97">
        <w:rPr>
          <w:rFonts w:ascii="Arial" w:eastAsia="新細明體" w:hAnsi="Arial" w:cs="Arial" w:hint="eastAsia"/>
          <w:kern w:val="0"/>
          <w:sz w:val="22"/>
          <w:lang w:val="en-GB"/>
        </w:rPr>
        <w:t xml:space="preserve"> IAB-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>node, the data forwarding and path update procedure need to be enhanced</w:t>
      </w:r>
      <w:r w:rsidR="001B3D97">
        <w:rPr>
          <w:rFonts w:ascii="Arial" w:eastAsia="新細明體" w:hAnsi="Arial" w:cs="Arial"/>
          <w:kern w:val="0"/>
          <w:sz w:val="22"/>
          <w:lang w:val="en-GB"/>
        </w:rPr>
        <w:t xml:space="preserve"> to approach minimizing service interruption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>, especially for L2 intermediate IAB</w:t>
      </w:r>
      <w:r w:rsidR="001B3D97">
        <w:rPr>
          <w:rFonts w:ascii="Arial" w:eastAsia="新細明體" w:hAnsi="Arial" w:cs="Arial"/>
          <w:kern w:val="0"/>
          <w:sz w:val="22"/>
          <w:lang w:val="en-GB"/>
        </w:rPr>
        <w:t>-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nodes. </w:t>
      </w:r>
      <w:r w:rsidR="00F93E13">
        <w:rPr>
          <w:rFonts w:ascii="Arial" w:eastAsia="新細明體" w:hAnsi="Arial" w:cs="Arial"/>
          <w:kern w:val="0"/>
          <w:sz w:val="22"/>
          <w:lang w:val="en-GB"/>
        </w:rPr>
        <w:t>I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f </w:t>
      </w:r>
      <w:r w:rsidR="00456D90">
        <w:rPr>
          <w:rFonts w:ascii="Arial" w:eastAsia="新細明體" w:hAnsi="Arial" w:cs="Arial" w:hint="eastAsia"/>
          <w:kern w:val="0"/>
          <w:sz w:val="22"/>
          <w:lang w:val="en-GB"/>
        </w:rPr>
        <w:t>multiple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 activated paths are allowed between the source </w:t>
      </w:r>
      <w:r w:rsidR="00804599">
        <w:rPr>
          <w:rFonts w:ascii="Arial" w:eastAsia="新細明體" w:hAnsi="Arial" w:cs="Arial" w:hint="eastAsia"/>
          <w:kern w:val="0"/>
          <w:sz w:val="22"/>
          <w:lang w:val="en-GB"/>
        </w:rPr>
        <w:t xml:space="preserve">IAB-node 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and </w:t>
      </w:r>
      <w:r w:rsidR="00F93E13">
        <w:rPr>
          <w:rFonts w:ascii="Arial" w:eastAsia="新細明體" w:hAnsi="Arial" w:cs="Arial"/>
          <w:kern w:val="0"/>
          <w:sz w:val="22"/>
          <w:lang w:val="en-GB"/>
        </w:rPr>
        <w:t>destination</w:t>
      </w:r>
      <w:r w:rsidR="00F93E13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804599">
        <w:rPr>
          <w:rFonts w:ascii="Arial" w:eastAsia="新細明體" w:hAnsi="Arial" w:cs="Arial" w:hint="eastAsia"/>
          <w:kern w:val="0"/>
          <w:sz w:val="22"/>
          <w:lang w:val="en-GB"/>
        </w:rPr>
        <w:t>IAB-</w:t>
      </w:r>
      <w:r w:rsidR="00456D90">
        <w:rPr>
          <w:rFonts w:ascii="Arial" w:eastAsia="新細明體" w:hAnsi="Arial" w:cs="Arial" w:hint="eastAsia"/>
          <w:kern w:val="0"/>
          <w:sz w:val="22"/>
          <w:lang w:val="en-GB"/>
        </w:rPr>
        <w:t>node, additional split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 xml:space="preserve"> rules need to be discussed. </w:t>
      </w:r>
    </w:p>
    <w:p w:rsidR="00376B35" w:rsidRDefault="00376B35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376B35" w:rsidRPr="00376B35" w:rsidRDefault="00376B35" w:rsidP="00376B3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2.2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>
        <w:rPr>
          <w:rFonts w:ascii="Arial" w:eastAsia="新細明體" w:hAnsi="Arial" w:cs="Arial"/>
          <w:kern w:val="0"/>
          <w:sz w:val="28"/>
          <w:szCs w:val="28"/>
          <w:lang w:val="en-GB"/>
        </w:rPr>
        <w:t>RRM Discussion</w:t>
      </w:r>
    </w:p>
    <w:p w:rsidR="0009165B" w:rsidRDefault="006B3AD1" w:rsidP="0009165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 xml:space="preserve">Periodical measurement report from UE to the serving base station is mainly for UE mobility in the past. The serving base station can make a handover decision based on the measurement results and command the UE to handover to a target base station. However, the IAB-nodes are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physically fixed, so it is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reasonable to assume </w:t>
      </w:r>
      <w:r w:rsidR="00DA6670">
        <w:rPr>
          <w:rFonts w:ascii="Arial" w:eastAsia="新細明體" w:hAnsi="Arial" w:cs="Arial" w:hint="eastAsia"/>
          <w:kern w:val="0"/>
          <w:sz w:val="22"/>
          <w:lang w:val="en-GB"/>
        </w:rPr>
        <w:t xml:space="preserve">that </w:t>
      </w:r>
      <w:r w:rsidR="00DA6670">
        <w:rPr>
          <w:rFonts w:ascii="Arial" w:eastAsia="新細明體" w:hAnsi="Arial" w:cs="Arial"/>
          <w:kern w:val="0"/>
          <w:sz w:val="22"/>
          <w:lang w:val="en-GB"/>
        </w:rPr>
        <w:t>the channel quality of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wireless backha</w:t>
      </w:r>
      <w:r w:rsidR="00DA6670">
        <w:rPr>
          <w:rFonts w:ascii="Arial" w:eastAsia="新細明體" w:hAnsi="Arial" w:cs="Arial"/>
          <w:kern w:val="0"/>
          <w:sz w:val="22"/>
          <w:lang w:val="en-GB"/>
        </w:rPr>
        <w:t xml:space="preserve">ul is much more stable than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access link.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That means maybe the </w:t>
      </w:r>
      <w:r w:rsidR="003938F1">
        <w:rPr>
          <w:rFonts w:ascii="Arial" w:eastAsia="新細明體" w:hAnsi="Arial" w:cs="Arial"/>
          <w:kern w:val="0"/>
          <w:sz w:val="22"/>
          <w:lang w:val="en-GB"/>
        </w:rPr>
        <w:t xml:space="preserve">measurement results of IAB-nodes does not need to be reported so frequently.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>In order not to occupy precious uplink resource of wireless backhaul, especially for in-band signalling,</w:t>
      </w:r>
      <w:r w:rsidR="00DE4460">
        <w:rPr>
          <w:rFonts w:ascii="Arial" w:eastAsia="新細明體" w:hAnsi="Arial" w:cs="Arial" w:hint="eastAsia"/>
          <w:kern w:val="0"/>
          <w:sz w:val="22"/>
          <w:lang w:val="en-GB"/>
        </w:rPr>
        <w:t xml:space="preserve"> we propose that it is beneficial for the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>periodical measurement report of wireless backhaul with a larger periodicity.</w:t>
      </w:r>
    </w:p>
    <w:p w:rsidR="006B3AD1" w:rsidRDefault="006B3AD1" w:rsidP="0009165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Observation 1: Periodical measurement report from UE to the serving base station is mainly for UE mobility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3938F1" w:rsidRDefault="003938F1" w:rsidP="0009165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</w:t>
      </w:r>
      <w:r w:rsidR="00DE4460">
        <w:rPr>
          <w:rFonts w:ascii="Arial" w:eastAsia="新細明體" w:hAnsi="Arial" w:cs="Arial"/>
          <w:b/>
          <w:kern w:val="0"/>
          <w:sz w:val="22"/>
          <w:lang w:val="en-GB"/>
        </w:rPr>
        <w:t>on 2: IAB-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nodes are physically fixed, so </w:t>
      </w:r>
      <w:r w:rsidRPr="003938F1">
        <w:rPr>
          <w:rFonts w:ascii="Arial" w:eastAsia="新細明體" w:hAnsi="Arial" w:cs="Arial"/>
          <w:b/>
          <w:kern w:val="0"/>
          <w:sz w:val="22"/>
        </w:rPr>
        <w:t>the channel quality of wireless backhaul can be assumed to be much more stable</w:t>
      </w:r>
      <w:r>
        <w:rPr>
          <w:rFonts w:ascii="Arial" w:eastAsia="新細明體" w:hAnsi="Arial" w:cs="Arial"/>
          <w:b/>
          <w:kern w:val="0"/>
          <w:sz w:val="22"/>
        </w:rPr>
        <w:t xml:space="preserve"> than access link. </w:t>
      </w:r>
    </w:p>
    <w:p w:rsidR="009423D9" w:rsidRPr="00F80045" w:rsidRDefault="009423D9" w:rsidP="0009165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376B35" w:rsidRPr="00DE4460" w:rsidRDefault="0009165B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2: </w:t>
      </w:r>
      <w:r w:rsidR="003938F1" w:rsidRPr="003938F1">
        <w:rPr>
          <w:rFonts w:ascii="Arial" w:eastAsia="新細明體" w:hAnsi="Arial" w:cs="Arial"/>
          <w:b/>
          <w:kern w:val="0"/>
          <w:sz w:val="22"/>
        </w:rPr>
        <w:t xml:space="preserve">Since IAB nodes are physically fixed, it is beneficial for the periodical measurement report </w:t>
      </w:r>
      <w:r w:rsidR="003938F1">
        <w:rPr>
          <w:rFonts w:ascii="Arial" w:eastAsia="新細明體" w:hAnsi="Arial" w:cs="Arial"/>
          <w:b/>
          <w:kern w:val="0"/>
          <w:sz w:val="22"/>
        </w:rPr>
        <w:t xml:space="preserve">of wireless backhaul </w:t>
      </w:r>
      <w:r w:rsidR="009423D9">
        <w:rPr>
          <w:rFonts w:ascii="Arial" w:eastAsia="新細明體" w:hAnsi="Arial" w:cs="Arial"/>
          <w:b/>
          <w:kern w:val="0"/>
          <w:sz w:val="22"/>
        </w:rPr>
        <w:t>with a larger periodicity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  <w:r w:rsidRPr="002470F1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observation and 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>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EF5ED5" w:rsidRDefault="00EF5ED5" w:rsidP="00EF5ED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Observation 1: Periodical measurement report from UE to the serving base station is mainly for UE mobility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2470F1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Observation 2: IAB-nodes are physically fixed, so </w:t>
      </w:r>
      <w:r w:rsidRPr="003938F1">
        <w:rPr>
          <w:rFonts w:ascii="Arial" w:eastAsia="新細明體" w:hAnsi="Arial" w:cs="Arial"/>
          <w:b/>
          <w:kern w:val="0"/>
          <w:sz w:val="22"/>
        </w:rPr>
        <w:t>the channel quality of wireless backhaul can be assumed to be much more stable</w:t>
      </w:r>
      <w:r>
        <w:rPr>
          <w:rFonts w:ascii="Arial" w:eastAsia="新細明體" w:hAnsi="Arial" w:cs="Arial"/>
          <w:b/>
          <w:kern w:val="0"/>
          <w:sz w:val="22"/>
        </w:rPr>
        <w:t xml:space="preserve"> than access link.</w:t>
      </w:r>
    </w:p>
    <w:p w:rsidR="00EF5ED5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</w:p>
    <w:p w:rsidR="00EF5ED5" w:rsidRPr="00BE6A33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</w:t>
      </w:r>
      <w:r w:rsidRPr="00206EB0">
        <w:rPr>
          <w:rFonts w:ascii="Arial" w:eastAsia="新細明體" w:hAnsi="Arial" w:cs="Arial"/>
          <w:b/>
          <w:kern w:val="0"/>
          <w:sz w:val="22"/>
          <w:lang w:val="en-GB"/>
        </w:rPr>
        <w:t>IAB Node Dual Connectivity should be supported as the baseline for topology adaptation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  <w:r w:rsidRPr="002470F1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</w:p>
    <w:p w:rsidR="00EF5ED5" w:rsidRPr="00EF5ED5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2: </w:t>
      </w:r>
      <w:r w:rsidRPr="003938F1">
        <w:rPr>
          <w:rFonts w:ascii="Arial" w:eastAsia="新細明體" w:hAnsi="Arial" w:cs="Arial"/>
          <w:b/>
          <w:kern w:val="0"/>
          <w:sz w:val="22"/>
        </w:rPr>
        <w:t xml:space="preserve">Since IAB nodes are physically fixed, it is beneficial for the periodical measurement report </w:t>
      </w:r>
      <w:r>
        <w:rPr>
          <w:rFonts w:ascii="Arial" w:eastAsia="新細明體" w:hAnsi="Arial" w:cs="Arial"/>
          <w:b/>
          <w:kern w:val="0"/>
          <w:sz w:val="22"/>
        </w:rPr>
        <w:t>of wireless backhaul with a larger periodicity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F275CA" w:rsidRDefault="002470F1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</w:t>
      </w:r>
      <w:r>
        <w:rPr>
          <w:rFonts w:ascii="Arial" w:eastAsia="新細明體" w:hAnsi="Arial" w:cs="Arial" w:hint="eastAsia"/>
          <w:kern w:val="0"/>
          <w:sz w:val="22"/>
          <w:szCs w:val="20"/>
        </w:rPr>
        <w:t>1</w:t>
      </w:r>
      <w:r w:rsidR="00BA5101">
        <w:rPr>
          <w:rFonts w:ascii="Arial" w:eastAsia="新細明體" w:hAnsi="Arial" w:cs="Arial"/>
          <w:kern w:val="0"/>
          <w:sz w:val="22"/>
          <w:szCs w:val="20"/>
        </w:rPr>
        <w:t xml:space="preserve">] </w:t>
      </w:r>
      <w:r w:rsidR="000A130E">
        <w:rPr>
          <w:rFonts w:ascii="Arial" w:eastAsia="新細明體" w:hAnsi="Arial" w:cs="Arial" w:hint="eastAsia"/>
          <w:kern w:val="0"/>
          <w:sz w:val="22"/>
          <w:szCs w:val="20"/>
        </w:rPr>
        <w:t>R3-183577</w:t>
      </w:r>
      <w:r w:rsidR="000A130E">
        <w:rPr>
          <w:rFonts w:ascii="Arial" w:eastAsia="新細明體" w:hAnsi="Arial" w:cs="Arial"/>
          <w:kern w:val="0"/>
          <w:sz w:val="22"/>
          <w:szCs w:val="20"/>
        </w:rPr>
        <w:t xml:space="preserve"> IAB Topologies</w:t>
      </w: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, </w:t>
      </w:r>
      <w:r w:rsidR="000A130E">
        <w:rPr>
          <w:rFonts w:ascii="Arial" w:eastAsia="新細明體" w:hAnsi="Arial" w:cs="Arial"/>
          <w:kern w:val="0"/>
          <w:sz w:val="22"/>
          <w:szCs w:val="20"/>
        </w:rPr>
        <w:t xml:space="preserve">Qualcomm (Rapporteur), </w:t>
      </w:r>
      <w:r w:rsidR="000A130E">
        <w:rPr>
          <w:rFonts w:ascii="Arial" w:eastAsia="新細明體" w:hAnsi="Arial" w:cs="Arial" w:hint="eastAsia"/>
          <w:kern w:val="0"/>
          <w:sz w:val="22"/>
          <w:szCs w:val="20"/>
        </w:rPr>
        <w:t>RAN3 #100</w:t>
      </w:r>
    </w:p>
    <w:p w:rsidR="00A93AEA" w:rsidRPr="002470F1" w:rsidRDefault="000A130E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[2] R2-1807720</w:t>
      </w:r>
      <w:r w:rsidR="00A93AEA">
        <w:rPr>
          <w:rFonts w:ascii="Arial" w:eastAsia="新細明體" w:hAnsi="Arial" w:cs="Arial" w:hint="eastAsia"/>
          <w:kern w:val="0"/>
          <w:sz w:val="22"/>
          <w:szCs w:val="20"/>
        </w:rPr>
        <w:t xml:space="preserve"> </w:t>
      </w:r>
      <w:r w:rsidR="00A93AEA" w:rsidRPr="00A93AEA">
        <w:rPr>
          <w:rFonts w:ascii="Arial" w:eastAsia="新細明體" w:hAnsi="Arial" w:cs="Arial"/>
          <w:kern w:val="0"/>
          <w:sz w:val="22"/>
          <w:szCs w:val="20"/>
        </w:rPr>
        <w:t>IAB Topology Management</w:t>
      </w:r>
      <w:r>
        <w:rPr>
          <w:rFonts w:ascii="Arial" w:eastAsia="新細明體" w:hAnsi="Arial" w:cs="Arial" w:hint="eastAsia"/>
          <w:kern w:val="0"/>
          <w:sz w:val="22"/>
          <w:szCs w:val="20"/>
        </w:rPr>
        <w:t>, Nokia, RAN2 #102</w:t>
      </w:r>
    </w:p>
    <w:p w:rsidR="00CC5FD4" w:rsidRPr="008E2E37" w:rsidRDefault="00CC5FD4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</w:p>
    <w:sectPr w:rsidR="00CC5FD4" w:rsidRPr="008E2E37" w:rsidSect="001170A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C6B" w:rsidRDefault="007B2C6B" w:rsidP="00C4580F">
      <w:r>
        <w:separator/>
      </w:r>
    </w:p>
  </w:endnote>
  <w:endnote w:type="continuationSeparator" w:id="0">
    <w:p w:rsidR="007B2C6B" w:rsidRDefault="007B2C6B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5A621F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5A621F">
      <w:rPr>
        <w:rStyle w:val="a7"/>
        <w:rFonts w:cs="Arial"/>
        <w:noProof/>
      </w:rPr>
      <w:t>2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C6B" w:rsidRDefault="007B2C6B" w:rsidP="00C4580F">
      <w:r>
        <w:separator/>
      </w:r>
    </w:p>
  </w:footnote>
  <w:footnote w:type="continuationSeparator" w:id="0">
    <w:p w:rsidR="007B2C6B" w:rsidRDefault="007B2C6B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art68BC"/>
      </v:shape>
    </w:pict>
  </w:numPicBullet>
  <w:abstractNum w:abstractNumId="0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1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3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9" w15:restartNumberingAfterBreak="0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1" w15:restartNumberingAfterBreak="0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10"/>
  </w:num>
  <w:num w:numId="5">
    <w:abstractNumId w:val="1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16"/>
  </w:num>
  <w:num w:numId="14">
    <w:abstractNumId w:val="1"/>
  </w:num>
  <w:num w:numId="15">
    <w:abstractNumId w:val="18"/>
  </w:num>
  <w:num w:numId="16">
    <w:abstractNumId w:val="15"/>
  </w:num>
  <w:num w:numId="17">
    <w:abstractNumId w:val="5"/>
  </w:num>
  <w:num w:numId="18">
    <w:abstractNumId w:val="19"/>
  </w:num>
  <w:num w:numId="19">
    <w:abstractNumId w:val="4"/>
  </w:num>
  <w:num w:numId="20">
    <w:abstractNumId w:val="21"/>
  </w:num>
  <w:num w:numId="21">
    <w:abstractNumId w:val="6"/>
  </w:num>
  <w:num w:numId="22">
    <w:abstractNumId w:val="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10CE0"/>
    <w:rsid w:val="0001254A"/>
    <w:rsid w:val="00031F6E"/>
    <w:rsid w:val="0004209A"/>
    <w:rsid w:val="0004626F"/>
    <w:rsid w:val="00052EB4"/>
    <w:rsid w:val="000608B8"/>
    <w:rsid w:val="000661A6"/>
    <w:rsid w:val="000741CD"/>
    <w:rsid w:val="00076368"/>
    <w:rsid w:val="00076519"/>
    <w:rsid w:val="0009165B"/>
    <w:rsid w:val="000A130E"/>
    <w:rsid w:val="000A517A"/>
    <w:rsid w:val="000A6028"/>
    <w:rsid w:val="000B4B50"/>
    <w:rsid w:val="000D7FD3"/>
    <w:rsid w:val="000E1D9B"/>
    <w:rsid w:val="000F2B80"/>
    <w:rsid w:val="000F4336"/>
    <w:rsid w:val="000F6CFE"/>
    <w:rsid w:val="001069D8"/>
    <w:rsid w:val="00106F64"/>
    <w:rsid w:val="001170AF"/>
    <w:rsid w:val="00122F96"/>
    <w:rsid w:val="00133E5A"/>
    <w:rsid w:val="001454A1"/>
    <w:rsid w:val="0015419A"/>
    <w:rsid w:val="0015775D"/>
    <w:rsid w:val="00162D3B"/>
    <w:rsid w:val="00180C36"/>
    <w:rsid w:val="0018475A"/>
    <w:rsid w:val="001A243D"/>
    <w:rsid w:val="001B299A"/>
    <w:rsid w:val="001B3D97"/>
    <w:rsid w:val="001C7CF3"/>
    <w:rsid w:val="001E14D3"/>
    <w:rsid w:val="001E33FF"/>
    <w:rsid w:val="001E3929"/>
    <w:rsid w:val="001F0154"/>
    <w:rsid w:val="001F6467"/>
    <w:rsid w:val="002052D8"/>
    <w:rsid w:val="00206EB0"/>
    <w:rsid w:val="002149E9"/>
    <w:rsid w:val="00222CFC"/>
    <w:rsid w:val="00224820"/>
    <w:rsid w:val="0023396A"/>
    <w:rsid w:val="00236C60"/>
    <w:rsid w:val="0024593D"/>
    <w:rsid w:val="002470F1"/>
    <w:rsid w:val="00257D6C"/>
    <w:rsid w:val="00265633"/>
    <w:rsid w:val="00280AFB"/>
    <w:rsid w:val="00286851"/>
    <w:rsid w:val="00287C9F"/>
    <w:rsid w:val="002A6218"/>
    <w:rsid w:val="002A66C6"/>
    <w:rsid w:val="002C4AD0"/>
    <w:rsid w:val="002E601E"/>
    <w:rsid w:val="00301175"/>
    <w:rsid w:val="00313A1A"/>
    <w:rsid w:val="00331300"/>
    <w:rsid w:val="00334C63"/>
    <w:rsid w:val="00340A9A"/>
    <w:rsid w:val="00345E7C"/>
    <w:rsid w:val="00354D0B"/>
    <w:rsid w:val="00373537"/>
    <w:rsid w:val="00376B35"/>
    <w:rsid w:val="00382695"/>
    <w:rsid w:val="00384F30"/>
    <w:rsid w:val="003938F1"/>
    <w:rsid w:val="003966A0"/>
    <w:rsid w:val="003A61B9"/>
    <w:rsid w:val="003B74D9"/>
    <w:rsid w:val="003E05FC"/>
    <w:rsid w:val="003E336A"/>
    <w:rsid w:val="004006C6"/>
    <w:rsid w:val="00413D1A"/>
    <w:rsid w:val="00414554"/>
    <w:rsid w:val="00417022"/>
    <w:rsid w:val="00420749"/>
    <w:rsid w:val="00440C40"/>
    <w:rsid w:val="00451386"/>
    <w:rsid w:val="00451B59"/>
    <w:rsid w:val="00454180"/>
    <w:rsid w:val="00456D90"/>
    <w:rsid w:val="00464042"/>
    <w:rsid w:val="00464DDE"/>
    <w:rsid w:val="00467DC8"/>
    <w:rsid w:val="00495F77"/>
    <w:rsid w:val="004A46AF"/>
    <w:rsid w:val="004A6940"/>
    <w:rsid w:val="004C27C3"/>
    <w:rsid w:val="004C50F9"/>
    <w:rsid w:val="004D2D77"/>
    <w:rsid w:val="004E0039"/>
    <w:rsid w:val="00501546"/>
    <w:rsid w:val="00503F8B"/>
    <w:rsid w:val="00506B33"/>
    <w:rsid w:val="00510803"/>
    <w:rsid w:val="00511996"/>
    <w:rsid w:val="00521AE1"/>
    <w:rsid w:val="00535D66"/>
    <w:rsid w:val="00542010"/>
    <w:rsid w:val="00547B78"/>
    <w:rsid w:val="0055390F"/>
    <w:rsid w:val="005625BA"/>
    <w:rsid w:val="00566998"/>
    <w:rsid w:val="00590B9D"/>
    <w:rsid w:val="00592AF2"/>
    <w:rsid w:val="005A621F"/>
    <w:rsid w:val="005C58F2"/>
    <w:rsid w:val="005D380A"/>
    <w:rsid w:val="005F1747"/>
    <w:rsid w:val="005F1927"/>
    <w:rsid w:val="00612F55"/>
    <w:rsid w:val="0061303A"/>
    <w:rsid w:val="00617EF0"/>
    <w:rsid w:val="00625E88"/>
    <w:rsid w:val="00650BAF"/>
    <w:rsid w:val="00651C35"/>
    <w:rsid w:val="00652446"/>
    <w:rsid w:val="006545A2"/>
    <w:rsid w:val="00656522"/>
    <w:rsid w:val="00665A8C"/>
    <w:rsid w:val="0067639B"/>
    <w:rsid w:val="006811F4"/>
    <w:rsid w:val="006B3AD1"/>
    <w:rsid w:val="006C1272"/>
    <w:rsid w:val="006F3250"/>
    <w:rsid w:val="006F6EC9"/>
    <w:rsid w:val="006F788C"/>
    <w:rsid w:val="007017E4"/>
    <w:rsid w:val="00712D8F"/>
    <w:rsid w:val="007265C1"/>
    <w:rsid w:val="0073184B"/>
    <w:rsid w:val="007364A4"/>
    <w:rsid w:val="00741BF7"/>
    <w:rsid w:val="007449F0"/>
    <w:rsid w:val="00744FFA"/>
    <w:rsid w:val="00746BBB"/>
    <w:rsid w:val="007477BB"/>
    <w:rsid w:val="00755B00"/>
    <w:rsid w:val="00763DD0"/>
    <w:rsid w:val="0076616B"/>
    <w:rsid w:val="0077332B"/>
    <w:rsid w:val="00790BA1"/>
    <w:rsid w:val="007A29D0"/>
    <w:rsid w:val="007A7BB7"/>
    <w:rsid w:val="007B2C1B"/>
    <w:rsid w:val="007B2C6B"/>
    <w:rsid w:val="007C5BFA"/>
    <w:rsid w:val="007D5116"/>
    <w:rsid w:val="007E5EDF"/>
    <w:rsid w:val="00804038"/>
    <w:rsid w:val="00804599"/>
    <w:rsid w:val="00806334"/>
    <w:rsid w:val="008120A2"/>
    <w:rsid w:val="00812C80"/>
    <w:rsid w:val="008308A5"/>
    <w:rsid w:val="00832E9F"/>
    <w:rsid w:val="0083347C"/>
    <w:rsid w:val="00837AC1"/>
    <w:rsid w:val="00841150"/>
    <w:rsid w:val="00850D15"/>
    <w:rsid w:val="00854D7C"/>
    <w:rsid w:val="008636BE"/>
    <w:rsid w:val="008918AC"/>
    <w:rsid w:val="0089628C"/>
    <w:rsid w:val="008B1348"/>
    <w:rsid w:val="008C002D"/>
    <w:rsid w:val="008C2A99"/>
    <w:rsid w:val="008D2210"/>
    <w:rsid w:val="008D4889"/>
    <w:rsid w:val="008D7591"/>
    <w:rsid w:val="008E2E37"/>
    <w:rsid w:val="008E4C48"/>
    <w:rsid w:val="008E6899"/>
    <w:rsid w:val="008E79E9"/>
    <w:rsid w:val="008E7AA0"/>
    <w:rsid w:val="00920AC3"/>
    <w:rsid w:val="00936A2A"/>
    <w:rsid w:val="00937AA3"/>
    <w:rsid w:val="0094131C"/>
    <w:rsid w:val="009423D9"/>
    <w:rsid w:val="009433CD"/>
    <w:rsid w:val="00954FEB"/>
    <w:rsid w:val="00982E0C"/>
    <w:rsid w:val="0098521E"/>
    <w:rsid w:val="00986DB9"/>
    <w:rsid w:val="009A05E0"/>
    <w:rsid w:val="009F5A35"/>
    <w:rsid w:val="00A07E40"/>
    <w:rsid w:val="00A118B4"/>
    <w:rsid w:val="00A12569"/>
    <w:rsid w:val="00A13F23"/>
    <w:rsid w:val="00A21B38"/>
    <w:rsid w:val="00A30651"/>
    <w:rsid w:val="00A35055"/>
    <w:rsid w:val="00A35785"/>
    <w:rsid w:val="00A55EC5"/>
    <w:rsid w:val="00A71EF5"/>
    <w:rsid w:val="00A7683F"/>
    <w:rsid w:val="00A93AEA"/>
    <w:rsid w:val="00AA612B"/>
    <w:rsid w:val="00AB1988"/>
    <w:rsid w:val="00AB6E38"/>
    <w:rsid w:val="00AB79B7"/>
    <w:rsid w:val="00AC1421"/>
    <w:rsid w:val="00AC6F7C"/>
    <w:rsid w:val="00AD4058"/>
    <w:rsid w:val="00B171CA"/>
    <w:rsid w:val="00B21B06"/>
    <w:rsid w:val="00B220C5"/>
    <w:rsid w:val="00B318E7"/>
    <w:rsid w:val="00B35080"/>
    <w:rsid w:val="00B5640B"/>
    <w:rsid w:val="00B71379"/>
    <w:rsid w:val="00B730EC"/>
    <w:rsid w:val="00B76375"/>
    <w:rsid w:val="00B7775A"/>
    <w:rsid w:val="00B77F65"/>
    <w:rsid w:val="00BA5101"/>
    <w:rsid w:val="00BA72E6"/>
    <w:rsid w:val="00BC7BC5"/>
    <w:rsid w:val="00BE24D6"/>
    <w:rsid w:val="00BE3054"/>
    <w:rsid w:val="00BE6A33"/>
    <w:rsid w:val="00BE7E28"/>
    <w:rsid w:val="00BF1E75"/>
    <w:rsid w:val="00BF4A50"/>
    <w:rsid w:val="00C00368"/>
    <w:rsid w:val="00C40C42"/>
    <w:rsid w:val="00C42862"/>
    <w:rsid w:val="00C4580F"/>
    <w:rsid w:val="00C4601A"/>
    <w:rsid w:val="00C766BD"/>
    <w:rsid w:val="00C82C42"/>
    <w:rsid w:val="00C869E4"/>
    <w:rsid w:val="00C96885"/>
    <w:rsid w:val="00CA0695"/>
    <w:rsid w:val="00CB51D4"/>
    <w:rsid w:val="00CC1EDA"/>
    <w:rsid w:val="00CC5FD4"/>
    <w:rsid w:val="00CD0104"/>
    <w:rsid w:val="00CD395B"/>
    <w:rsid w:val="00CD4574"/>
    <w:rsid w:val="00CD6CF7"/>
    <w:rsid w:val="00CF511D"/>
    <w:rsid w:val="00CF692A"/>
    <w:rsid w:val="00D124FA"/>
    <w:rsid w:val="00D336BB"/>
    <w:rsid w:val="00D33C5C"/>
    <w:rsid w:val="00D37EF7"/>
    <w:rsid w:val="00D46CEA"/>
    <w:rsid w:val="00D547B7"/>
    <w:rsid w:val="00D64532"/>
    <w:rsid w:val="00D725F7"/>
    <w:rsid w:val="00DA2511"/>
    <w:rsid w:val="00DA6670"/>
    <w:rsid w:val="00DB5D74"/>
    <w:rsid w:val="00DB7365"/>
    <w:rsid w:val="00DC3A0B"/>
    <w:rsid w:val="00DC51EB"/>
    <w:rsid w:val="00DD72C8"/>
    <w:rsid w:val="00DE4460"/>
    <w:rsid w:val="00DE700F"/>
    <w:rsid w:val="00DF49C0"/>
    <w:rsid w:val="00DF58E3"/>
    <w:rsid w:val="00DF7648"/>
    <w:rsid w:val="00E011EE"/>
    <w:rsid w:val="00E01EEB"/>
    <w:rsid w:val="00E07516"/>
    <w:rsid w:val="00E07AB4"/>
    <w:rsid w:val="00E141D9"/>
    <w:rsid w:val="00E254A8"/>
    <w:rsid w:val="00E25BBB"/>
    <w:rsid w:val="00E30ECF"/>
    <w:rsid w:val="00E4381D"/>
    <w:rsid w:val="00E53802"/>
    <w:rsid w:val="00E66014"/>
    <w:rsid w:val="00E75E4D"/>
    <w:rsid w:val="00E928CF"/>
    <w:rsid w:val="00E93412"/>
    <w:rsid w:val="00E9742E"/>
    <w:rsid w:val="00EA5CA2"/>
    <w:rsid w:val="00EA6E61"/>
    <w:rsid w:val="00EC70D7"/>
    <w:rsid w:val="00EE23BE"/>
    <w:rsid w:val="00EF0615"/>
    <w:rsid w:val="00EF0B30"/>
    <w:rsid w:val="00EF5ED5"/>
    <w:rsid w:val="00EF7D89"/>
    <w:rsid w:val="00F07D3A"/>
    <w:rsid w:val="00F13D80"/>
    <w:rsid w:val="00F169C7"/>
    <w:rsid w:val="00F275CA"/>
    <w:rsid w:val="00F3145D"/>
    <w:rsid w:val="00F36865"/>
    <w:rsid w:val="00F36FE8"/>
    <w:rsid w:val="00F52765"/>
    <w:rsid w:val="00F64F6A"/>
    <w:rsid w:val="00F65960"/>
    <w:rsid w:val="00F67C1E"/>
    <w:rsid w:val="00F80045"/>
    <w:rsid w:val="00F85974"/>
    <w:rsid w:val="00F9221E"/>
    <w:rsid w:val="00F92BF7"/>
    <w:rsid w:val="00F93E13"/>
    <w:rsid w:val="00F977E5"/>
    <w:rsid w:val="00FB28F8"/>
    <w:rsid w:val="00FB6616"/>
    <w:rsid w:val="00FC548B"/>
    <w:rsid w:val="00FD23EB"/>
    <w:rsid w:val="00FE6C2B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BBD55D-DA7C-4FCF-9D0C-5CAB90F5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DCA8D-4D46-488B-9113-0407D7BF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910525</cp:lastModifiedBy>
  <cp:revision>7</cp:revision>
  <dcterms:created xsi:type="dcterms:W3CDTF">2018-06-21T13:51:00Z</dcterms:created>
  <dcterms:modified xsi:type="dcterms:W3CDTF">2018-06-22T02:40:00Z</dcterms:modified>
</cp:coreProperties>
</file>