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74E961" w14:textId="6ECD4E6D" w:rsidR="000D6096" w:rsidRPr="009A2A5A" w:rsidRDefault="000D6096" w:rsidP="000D6096">
      <w:pPr>
        <w:pStyle w:val="3GPPHeader"/>
        <w:spacing w:after="120"/>
        <w:rPr>
          <w:rFonts w:eastAsia="MS Mincho"/>
          <w:szCs w:val="24"/>
          <w:lang w:eastAsia="x-none"/>
        </w:rPr>
      </w:pPr>
      <w:r w:rsidRPr="009A2A5A">
        <w:rPr>
          <w:rFonts w:eastAsia="MS Mincho"/>
          <w:szCs w:val="24"/>
          <w:lang w:eastAsia="x-none"/>
        </w:rPr>
        <w:t xml:space="preserve">3GPP TSG-RAN WG2 </w:t>
      </w:r>
      <w:r w:rsidR="00DA5AC5">
        <w:rPr>
          <w:rFonts w:eastAsia="MS Mincho"/>
          <w:szCs w:val="24"/>
          <w:lang w:eastAsia="x-none"/>
        </w:rPr>
        <w:t xml:space="preserve">NR </w:t>
      </w:r>
      <w:r w:rsidR="00183B93">
        <w:rPr>
          <w:rFonts w:eastAsia="MS Mincho"/>
          <w:szCs w:val="24"/>
          <w:lang w:eastAsia="x-none"/>
        </w:rPr>
        <w:t>AH Meeting</w:t>
      </w:r>
      <w:r w:rsidR="00DA5AC5">
        <w:rPr>
          <w:rFonts w:eastAsia="MS Mincho"/>
          <w:szCs w:val="24"/>
          <w:lang w:eastAsia="x-none"/>
        </w:rPr>
        <w:t xml:space="preserve"> 1807</w:t>
      </w:r>
      <w:r w:rsidRPr="009A2A5A">
        <w:rPr>
          <w:rFonts w:eastAsia="MS Mincho"/>
          <w:szCs w:val="24"/>
          <w:lang w:eastAsia="x-none"/>
        </w:rPr>
        <w:tab/>
      </w:r>
      <w:r w:rsidR="0096569F" w:rsidRPr="0096569F">
        <w:rPr>
          <w:rFonts w:eastAsia="MS Mincho"/>
          <w:szCs w:val="24"/>
          <w:lang w:eastAsia="x-none"/>
        </w:rPr>
        <w:t>R2-18</w:t>
      </w:r>
      <w:r w:rsidR="00C468CE" w:rsidRPr="00C468CE">
        <w:rPr>
          <w:rFonts w:eastAsia="MS Mincho"/>
          <w:szCs w:val="24"/>
          <w:lang w:eastAsia="x-none"/>
        </w:rPr>
        <w:t>09792</w:t>
      </w:r>
    </w:p>
    <w:p w14:paraId="742A24EC" w14:textId="2A821EB0" w:rsidR="000D6096" w:rsidRDefault="00E80448" w:rsidP="0044004B">
      <w:pPr>
        <w:pStyle w:val="3GPPHeader"/>
        <w:tabs>
          <w:tab w:val="clear" w:pos="9639"/>
          <w:tab w:val="right" w:pos="8931"/>
        </w:tabs>
        <w:rPr>
          <w:sz w:val="22"/>
          <w:szCs w:val="22"/>
          <w:lang w:val="sv-SE"/>
        </w:rPr>
      </w:pPr>
      <w:r>
        <w:rPr>
          <w:rFonts w:eastAsia="MS Mincho"/>
          <w:szCs w:val="24"/>
          <w:lang w:eastAsia="x-none"/>
        </w:rPr>
        <w:t>Montreal</w:t>
      </w:r>
      <w:r w:rsidRPr="009A2A5A">
        <w:rPr>
          <w:rFonts w:eastAsia="MS Mincho"/>
          <w:szCs w:val="24"/>
          <w:lang w:eastAsia="x-none"/>
        </w:rPr>
        <w:t xml:space="preserve">, </w:t>
      </w:r>
      <w:r>
        <w:rPr>
          <w:rFonts w:eastAsia="MS Mincho"/>
          <w:szCs w:val="24"/>
          <w:lang w:eastAsia="x-none"/>
        </w:rPr>
        <w:t>Canada, 2</w:t>
      </w:r>
      <w:r w:rsidRPr="008F27E0">
        <w:rPr>
          <w:rFonts w:eastAsia="MS Mincho"/>
          <w:szCs w:val="24"/>
          <w:vertAlign w:val="superscript"/>
          <w:lang w:eastAsia="x-none"/>
        </w:rPr>
        <w:t>nd</w:t>
      </w:r>
      <w:r>
        <w:rPr>
          <w:rFonts w:eastAsia="MS Mincho"/>
          <w:szCs w:val="24"/>
          <w:lang w:eastAsia="x-none"/>
        </w:rPr>
        <w:t xml:space="preserve"> –</w:t>
      </w:r>
      <w:r w:rsidRPr="009A2A5A">
        <w:rPr>
          <w:rFonts w:eastAsia="MS Mincho"/>
          <w:szCs w:val="24"/>
          <w:lang w:eastAsia="x-none"/>
        </w:rPr>
        <w:t xml:space="preserve"> </w:t>
      </w:r>
      <w:r>
        <w:rPr>
          <w:rFonts w:eastAsia="MS Mincho"/>
          <w:szCs w:val="24"/>
          <w:lang w:eastAsia="x-none"/>
        </w:rPr>
        <w:t>6</w:t>
      </w:r>
      <w:r w:rsidRPr="008F27E0">
        <w:rPr>
          <w:rFonts w:eastAsia="MS Mincho"/>
          <w:szCs w:val="24"/>
          <w:vertAlign w:val="superscript"/>
          <w:lang w:eastAsia="x-none"/>
        </w:rPr>
        <w:t>th</w:t>
      </w:r>
      <w:r>
        <w:rPr>
          <w:rFonts w:eastAsia="MS Mincho"/>
          <w:szCs w:val="24"/>
          <w:lang w:eastAsia="x-none"/>
        </w:rPr>
        <w:t xml:space="preserve"> July</w:t>
      </w:r>
      <w:r w:rsidRPr="009A2A5A">
        <w:rPr>
          <w:rFonts w:eastAsia="MS Mincho"/>
          <w:szCs w:val="24"/>
          <w:lang w:eastAsia="x-none"/>
        </w:rPr>
        <w:t xml:space="preserve"> 2018</w:t>
      </w:r>
      <w:r w:rsidR="006C54BD">
        <w:rPr>
          <w:rFonts w:eastAsia="MS Mincho"/>
          <w:szCs w:val="24"/>
          <w:lang w:eastAsia="x-none"/>
        </w:rPr>
        <w:t xml:space="preserve"> </w:t>
      </w:r>
      <w:r w:rsidR="006C54BD">
        <w:rPr>
          <w:rFonts w:eastAsia="MS Mincho"/>
          <w:szCs w:val="24"/>
          <w:lang w:eastAsia="x-none"/>
        </w:rPr>
        <w:tab/>
      </w:r>
    </w:p>
    <w:p w14:paraId="085DDC71" w14:textId="77777777" w:rsidR="00E74DBE" w:rsidRDefault="00E74DBE" w:rsidP="00E74DBE">
      <w:pPr>
        <w:pStyle w:val="3GPPHeader"/>
        <w:rPr>
          <w:sz w:val="22"/>
          <w:szCs w:val="22"/>
          <w:lang w:val="sv-SE"/>
        </w:rPr>
      </w:pPr>
    </w:p>
    <w:p w14:paraId="2981A4B0" w14:textId="77777777" w:rsidR="00E74DBE" w:rsidRPr="007730BD" w:rsidRDefault="00E74DBE" w:rsidP="00E74DBE">
      <w:pPr>
        <w:pStyle w:val="3GPPHeader"/>
        <w:rPr>
          <w:sz w:val="22"/>
          <w:szCs w:val="22"/>
          <w:lang w:val="sv-SE"/>
        </w:rPr>
      </w:pPr>
      <w:r w:rsidRPr="007730BD">
        <w:rPr>
          <w:sz w:val="22"/>
          <w:szCs w:val="22"/>
          <w:lang w:val="sv-SE"/>
        </w:rPr>
        <w:t>Agenda Item:</w:t>
      </w:r>
      <w:r w:rsidRPr="007730BD">
        <w:rPr>
          <w:sz w:val="22"/>
          <w:szCs w:val="22"/>
          <w:lang w:val="sv-SE"/>
        </w:rPr>
        <w:tab/>
      </w:r>
      <w:r w:rsidRPr="00637E95">
        <w:rPr>
          <w:sz w:val="22"/>
          <w:szCs w:val="22"/>
          <w:lang w:val="sv-SE"/>
        </w:rPr>
        <w:t>10.2.4</w:t>
      </w:r>
    </w:p>
    <w:p w14:paraId="6D97C1EF" w14:textId="77777777" w:rsidR="00E74DBE" w:rsidRPr="00CE0424" w:rsidRDefault="00E74DBE" w:rsidP="00E74DBE">
      <w:pPr>
        <w:pStyle w:val="3GPPHeader"/>
        <w:rPr>
          <w:sz w:val="22"/>
          <w:szCs w:val="22"/>
        </w:rPr>
      </w:pPr>
      <w:r>
        <w:rPr>
          <w:sz w:val="22"/>
          <w:szCs w:val="22"/>
        </w:rPr>
        <w:t>Source:</w:t>
      </w:r>
      <w:r w:rsidRPr="00CE0424">
        <w:rPr>
          <w:sz w:val="22"/>
          <w:szCs w:val="22"/>
        </w:rPr>
        <w:tab/>
      </w:r>
      <w:r>
        <w:rPr>
          <w:sz w:val="22"/>
          <w:szCs w:val="22"/>
        </w:rPr>
        <w:t>Intel Corporation</w:t>
      </w:r>
    </w:p>
    <w:p w14:paraId="71F7F165" w14:textId="77777777" w:rsidR="00E74DBE" w:rsidRPr="00CE0424" w:rsidRDefault="00E74DBE" w:rsidP="00E74DBE">
      <w:pPr>
        <w:pStyle w:val="3GPPHeader"/>
        <w:ind w:left="1701" w:hanging="1701"/>
        <w:rPr>
          <w:sz w:val="22"/>
          <w:szCs w:val="22"/>
        </w:rPr>
      </w:pPr>
      <w:r>
        <w:rPr>
          <w:sz w:val="22"/>
          <w:szCs w:val="22"/>
        </w:rPr>
        <w:t>Title:</w:t>
      </w:r>
      <w:r w:rsidRPr="00CE0424">
        <w:rPr>
          <w:sz w:val="22"/>
          <w:szCs w:val="22"/>
        </w:rPr>
        <w:tab/>
      </w:r>
      <w:r>
        <w:t xml:space="preserve">Architectural aspects of MR-DC for NE-DC, NGEN-DC and NR-NRDC </w:t>
      </w:r>
    </w:p>
    <w:p w14:paraId="4FF4AE65" w14:textId="77777777" w:rsidR="00E74DBE" w:rsidRDefault="00E74DBE" w:rsidP="00E74DBE">
      <w:pPr>
        <w:pStyle w:val="3GPPHeader"/>
        <w:rPr>
          <w:sz w:val="22"/>
          <w:szCs w:val="22"/>
        </w:rPr>
      </w:pPr>
      <w:r w:rsidRPr="00CE0424">
        <w:rPr>
          <w:sz w:val="22"/>
          <w:szCs w:val="22"/>
        </w:rPr>
        <w:t>Document for:</w:t>
      </w:r>
      <w:r w:rsidRPr="00CE0424">
        <w:rPr>
          <w:sz w:val="22"/>
          <w:szCs w:val="22"/>
        </w:rPr>
        <w:tab/>
      </w:r>
      <w:r>
        <w:rPr>
          <w:sz w:val="22"/>
          <w:szCs w:val="22"/>
        </w:rPr>
        <w:t>Discussion</w:t>
      </w:r>
    </w:p>
    <w:p w14:paraId="78D33886" w14:textId="77777777" w:rsidR="00E74DBE" w:rsidRDefault="00E74DBE" w:rsidP="00E74DBE">
      <w:pPr>
        <w:pStyle w:val="Heading1"/>
        <w:pBdr>
          <w:top w:val="single" w:sz="12" w:space="3" w:color="auto"/>
        </w:pBdr>
        <w:tabs>
          <w:tab w:val="num" w:pos="432"/>
        </w:tabs>
        <w:overflowPunct w:val="0"/>
        <w:autoSpaceDE w:val="0"/>
        <w:autoSpaceDN w:val="0"/>
        <w:adjustRightInd w:val="0"/>
        <w:spacing w:after="180" w:line="240" w:lineRule="auto"/>
        <w:textAlignment w:val="baseline"/>
      </w:pPr>
      <w:r>
        <w:t>Introduction</w:t>
      </w:r>
    </w:p>
    <w:p w14:paraId="5A2C52BB" w14:textId="77777777" w:rsidR="00E74DBE" w:rsidRPr="00593FDB" w:rsidRDefault="00E74DBE" w:rsidP="00E74DBE">
      <w:r>
        <w:t>RAN2 has been discussing EN-DC architecture primarily and also extending it to MR-DC where it seems easily applicable.  This document looks at the different DC options of the late drop, NE-DC, NGEN-DC and NR-NRDC and where it may differ from MR-DC .</w:t>
      </w:r>
    </w:p>
    <w:p w14:paraId="716EB90E" w14:textId="77777777" w:rsidR="00E74DBE" w:rsidRDefault="00E74DBE" w:rsidP="00E74DBE">
      <w:pPr>
        <w:pStyle w:val="Heading1"/>
      </w:pPr>
      <w:r>
        <w:t>Discussion</w:t>
      </w:r>
    </w:p>
    <w:p w14:paraId="3FBE4838" w14:textId="77777777" w:rsidR="00E74DBE" w:rsidRDefault="00E74DBE" w:rsidP="00E74DBE">
      <w:r>
        <w:t xml:space="preserve">37.340 already captures many of DC architectural concepts for NE-DC, NGEN-DC and NR-NRDC as part of the MR-DC specifications where they are common with EN-DC.   </w:t>
      </w:r>
    </w:p>
    <w:p w14:paraId="01E5692F" w14:textId="77777777" w:rsidR="00E74DBE" w:rsidRDefault="00E74DBE" w:rsidP="00E74DBE">
      <w:pPr>
        <w:pStyle w:val="Heading2"/>
      </w:pPr>
      <w:r>
        <w:t>Radio protocol architecture</w:t>
      </w:r>
    </w:p>
    <w:p w14:paraId="5900E592" w14:textId="77777777" w:rsidR="00E74DBE" w:rsidRDefault="00E74DBE" w:rsidP="00E74DBE">
      <w:r>
        <w:t>The following as already captured in 37.340 is used for MR-DC:</w:t>
      </w:r>
    </w:p>
    <w:p w14:paraId="12740668" w14:textId="77777777" w:rsidR="00E74DBE" w:rsidRDefault="00E74DBE" w:rsidP="00E74DBE">
      <w:r w:rsidRPr="00A447E8">
        <w:t xml:space="preserve">RRC PDUs generated by the </w:t>
      </w:r>
      <w:r>
        <w:t>SN</w:t>
      </w:r>
      <w:r w:rsidRPr="00A447E8">
        <w:t xml:space="preserve"> </w:t>
      </w:r>
      <w:r>
        <w:t xml:space="preserve">can be </w:t>
      </w:r>
      <w:r w:rsidRPr="00A447E8">
        <w:t xml:space="preserve">transported via the </w:t>
      </w:r>
      <w:r>
        <w:t>MN</w:t>
      </w:r>
      <w:r w:rsidRPr="00A447E8">
        <w:t xml:space="preserve"> to the UE</w:t>
      </w:r>
      <w:r>
        <w:t xml:space="preserve">. The MN </w:t>
      </w:r>
      <w:r w:rsidRPr="00E37459">
        <w:t xml:space="preserve">always </w:t>
      </w:r>
      <w:r>
        <w:t xml:space="preserve">sends the </w:t>
      </w:r>
      <w:r w:rsidRPr="00E37459">
        <w:t xml:space="preserve">initial SN </w:t>
      </w:r>
      <w:r>
        <w:t xml:space="preserve">RRC </w:t>
      </w:r>
      <w:r w:rsidRPr="00E37459">
        <w:t>configuration</w:t>
      </w:r>
      <w:r>
        <w:t xml:space="preserve"> via MCG SRB (SRB1), but subsequent </w:t>
      </w:r>
      <w:r w:rsidRPr="00E37459">
        <w:t>reconfiguration</w:t>
      </w:r>
      <w:r>
        <w:t>s may be transported via MN or SN</w:t>
      </w:r>
      <w:r w:rsidRPr="00A447E8">
        <w:t xml:space="preserve">. </w:t>
      </w:r>
      <w:r w:rsidRPr="00E37459">
        <w:t xml:space="preserve">When transporting RRC PDU from </w:t>
      </w:r>
      <w:r>
        <w:t xml:space="preserve">the </w:t>
      </w:r>
      <w:r w:rsidRPr="00E37459">
        <w:t>S</w:t>
      </w:r>
      <w:r>
        <w:t>N</w:t>
      </w:r>
      <w:r w:rsidRPr="00E37459">
        <w:t>, the M</w:t>
      </w:r>
      <w:r>
        <w:t>N</w:t>
      </w:r>
      <w:r w:rsidRPr="00E37459">
        <w:t xml:space="preserve"> does not modify the UE configuration provided by the S</w:t>
      </w:r>
      <w:r>
        <w:t>N</w:t>
      </w:r>
      <w:r w:rsidRPr="00E37459">
        <w:t>.</w:t>
      </w:r>
      <w:r>
        <w:t xml:space="preserve">  </w:t>
      </w:r>
    </w:p>
    <w:p w14:paraId="082691A3" w14:textId="77777777" w:rsidR="00E74DBE" w:rsidRDefault="00E74DBE" w:rsidP="00E74DBE">
      <w:r>
        <w:t>Joint success and failure of the combined messages is used.</w:t>
      </w:r>
    </w:p>
    <w:p w14:paraId="4AADC320" w14:textId="5CE021F3" w:rsidR="00E74DBE" w:rsidRDefault="00E74DBE" w:rsidP="00E74DBE">
      <w:r>
        <w:t>One exception is already agreed and captured: SRB3 is not applicable for NE-DC.</w:t>
      </w:r>
    </w:p>
    <w:p w14:paraId="07238336" w14:textId="77777777" w:rsidR="00E74DBE" w:rsidRDefault="00E74DBE" w:rsidP="00E74DBE">
      <w:r>
        <w:t>EN-DC followed the transparent model where MN does not have to interpret the SN configuration sent over MN.  For NR-NR-DC, since both the nodes are NR, it is more easy and useful in terms of MN/SN coordination to allow MN to directly interpret the SN messages before the SN messages are sent to the UE.  This aspect, which is particular to NR-NR DC can be discussed further in a later meeting on an NR-NR agenda.</w:t>
      </w:r>
    </w:p>
    <w:p w14:paraId="786D6743" w14:textId="77777777" w:rsidR="00E74DBE" w:rsidRPr="001716FC" w:rsidRDefault="00E74DBE" w:rsidP="00E74DBE">
      <w:pPr>
        <w:rPr>
          <w:b/>
        </w:rPr>
      </w:pPr>
      <w:r w:rsidRPr="001716FC">
        <w:rPr>
          <w:b/>
        </w:rPr>
        <w:t>Proposal #1: confirm that principles for MR-DC captured in 37.340 are applicable for NE-DC:</w:t>
      </w:r>
    </w:p>
    <w:p w14:paraId="181F5B78" w14:textId="77777777" w:rsidR="00E74DBE" w:rsidRPr="001716FC" w:rsidRDefault="00E74DBE" w:rsidP="00E74DBE">
      <w:pPr>
        <w:pStyle w:val="ListParagraph"/>
        <w:numPr>
          <w:ilvl w:val="0"/>
          <w:numId w:val="9"/>
        </w:numPr>
        <w:rPr>
          <w:b/>
        </w:rPr>
      </w:pPr>
      <w:r w:rsidRPr="001716FC">
        <w:rPr>
          <w:b/>
        </w:rPr>
        <w:t>RRC Reconfiguration messages generated by the SN are transported via the MN to the UE</w:t>
      </w:r>
    </w:p>
    <w:p w14:paraId="0604D441" w14:textId="77777777" w:rsidR="00E74DBE" w:rsidRPr="001716FC" w:rsidRDefault="00E74DBE" w:rsidP="00E74DBE">
      <w:pPr>
        <w:pStyle w:val="ListParagraph"/>
        <w:numPr>
          <w:ilvl w:val="0"/>
          <w:numId w:val="9"/>
        </w:numPr>
        <w:rPr>
          <w:b/>
        </w:rPr>
      </w:pPr>
      <w:r w:rsidRPr="001716FC">
        <w:rPr>
          <w:b/>
        </w:rPr>
        <w:t>Joint success and failure of the combined message is used</w:t>
      </w:r>
    </w:p>
    <w:p w14:paraId="024F63EF" w14:textId="77777777" w:rsidR="00E74DBE" w:rsidRPr="001716FC" w:rsidRDefault="00E74DBE" w:rsidP="00E74DBE">
      <w:pPr>
        <w:pStyle w:val="ListParagraph"/>
        <w:numPr>
          <w:ilvl w:val="0"/>
          <w:numId w:val="9"/>
        </w:numPr>
        <w:rPr>
          <w:b/>
        </w:rPr>
      </w:pPr>
      <w:r w:rsidRPr="001716FC">
        <w:rPr>
          <w:b/>
        </w:rPr>
        <w:t>SRB3 is not applicable for NE-DC</w:t>
      </w:r>
    </w:p>
    <w:p w14:paraId="3AB982A5" w14:textId="77777777" w:rsidR="00E74DBE" w:rsidRDefault="00E74DBE" w:rsidP="00E74DBE"/>
    <w:p w14:paraId="79D5BDF8" w14:textId="77777777" w:rsidR="00E74DBE" w:rsidRDefault="00E74DBE" w:rsidP="00E74DBE"/>
    <w:p w14:paraId="17E5D59F" w14:textId="77777777" w:rsidR="00E74DBE" w:rsidRDefault="00E74DBE" w:rsidP="00E74DBE">
      <w:pPr>
        <w:pStyle w:val="Heading2"/>
      </w:pPr>
      <w:r>
        <w:lastRenderedPageBreak/>
        <w:t>User plane</w:t>
      </w:r>
    </w:p>
    <w:p w14:paraId="6740F86B" w14:textId="77777777" w:rsidR="00E74DBE" w:rsidRDefault="00E74DBE" w:rsidP="00E74DBE">
      <w:r>
        <w:t>User plane protocol stack from EN-DC is also expected to be the same for NE-DC with the exception of SDAP.  The unified bearer concept with the corresponding RB containers, bearer types allowed and bearer type change behaviour is applicable also for NE-DC.  This is already captured in 37.340 as follows:</w:t>
      </w:r>
    </w:p>
    <w:bookmarkStart w:id="0" w:name="_MON_1573504316"/>
    <w:bookmarkEnd w:id="0"/>
    <w:p w14:paraId="428721E6" w14:textId="77777777" w:rsidR="00E74DBE" w:rsidRPr="00192FDA" w:rsidRDefault="00E74DBE" w:rsidP="00E74DBE">
      <w:pPr>
        <w:pStyle w:val="TH"/>
        <w:rPr>
          <w:lang w:val="en-GB"/>
        </w:rPr>
      </w:pPr>
      <w:r w:rsidRPr="00192FDA">
        <w:rPr>
          <w:lang w:val="en-GB"/>
        </w:rPr>
        <w:object w:dxaOrig="4432" w:dyaOrig="3150" w14:anchorId="7ABCB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25pt;height:157.5pt" o:ole="">
            <v:imagedata r:id="rId8" o:title=""/>
          </v:shape>
          <o:OLEObject Type="Embed" ProgID="Visio.Drawing.11" ShapeID="_x0000_i1025" DrawAspect="Content" ObjectID="_1591124982" r:id="rId9"/>
        </w:object>
      </w:r>
    </w:p>
    <w:p w14:paraId="552C4627" w14:textId="77777777" w:rsidR="00E74DBE" w:rsidRPr="00672EDA" w:rsidRDefault="00E74DBE" w:rsidP="00E74DBE">
      <w:pPr>
        <w:pStyle w:val="TF"/>
        <w:rPr>
          <w:b w:val="0"/>
          <w:lang w:val="en-GB"/>
        </w:rPr>
      </w:pPr>
      <w:r w:rsidRPr="00672EDA">
        <w:rPr>
          <w:b w:val="0"/>
          <w:lang w:val="en-GB"/>
        </w:rPr>
        <w:t>Figure 4.2.2-2: Radio Protocol Architecture for MCG, SCG and split bearers from a UE perspective in MR-DC with 5GC (NGEN-DC, NE-DC).</w:t>
      </w:r>
    </w:p>
    <w:p w14:paraId="0BA3CDAB" w14:textId="77777777" w:rsidR="00A678DB" w:rsidRDefault="00A678DB" w:rsidP="00A678DB">
      <w:r>
        <w:t>Same handling as in EN-DC for DRBs can be used for MR-DC connected to 5GC.  RBconfig1 and RBconfig2 is used to configure the DRBs at the two nodes.</w:t>
      </w:r>
    </w:p>
    <w:p w14:paraId="1E8C1897" w14:textId="77F98955" w:rsidR="00E74DBE" w:rsidRPr="001716FC" w:rsidRDefault="00E74DBE" w:rsidP="00E74DBE">
      <w:pPr>
        <w:rPr>
          <w:b/>
        </w:rPr>
      </w:pPr>
      <w:r>
        <w:rPr>
          <w:b/>
        </w:rPr>
        <w:t>Proposal #2</w:t>
      </w:r>
      <w:r w:rsidRPr="001716FC">
        <w:rPr>
          <w:b/>
        </w:rPr>
        <w:t xml:space="preserve">: confirm that </w:t>
      </w:r>
      <w:r>
        <w:rPr>
          <w:b/>
        </w:rPr>
        <w:t xml:space="preserve">the unified bearer concept </w:t>
      </w:r>
      <w:r w:rsidR="00A678DB">
        <w:rPr>
          <w:b/>
        </w:rPr>
        <w:t xml:space="preserve">from EN-DC </w:t>
      </w:r>
      <w:r>
        <w:rPr>
          <w:b/>
        </w:rPr>
        <w:t xml:space="preserve">is </w:t>
      </w:r>
      <w:r w:rsidR="00A678DB">
        <w:rPr>
          <w:b/>
        </w:rPr>
        <w:t>used</w:t>
      </w:r>
      <w:r>
        <w:rPr>
          <w:b/>
        </w:rPr>
        <w:t xml:space="preserve"> for all DC options of </w:t>
      </w:r>
      <w:r w:rsidRPr="001716FC">
        <w:rPr>
          <w:b/>
        </w:rPr>
        <w:t>MR-DC</w:t>
      </w:r>
      <w:r>
        <w:rPr>
          <w:b/>
        </w:rPr>
        <w:t>.</w:t>
      </w:r>
      <w:r w:rsidRPr="001716FC">
        <w:rPr>
          <w:b/>
        </w:rPr>
        <w:t xml:space="preserve"> </w:t>
      </w:r>
    </w:p>
    <w:p w14:paraId="19003F8C" w14:textId="59EE9D1A" w:rsidR="00DA5AC5" w:rsidRDefault="00DA5AC5" w:rsidP="001E1C0F">
      <w:pPr>
        <w:rPr>
          <w:b/>
        </w:rPr>
      </w:pPr>
    </w:p>
    <w:p w14:paraId="461AEAB5" w14:textId="77777777" w:rsidR="00DA5AC5" w:rsidRDefault="00DA5AC5" w:rsidP="00672EDA">
      <w:pPr>
        <w:pStyle w:val="Heading2"/>
      </w:pPr>
      <w:r>
        <w:t>Supporting 5G QoS with Dual connectivity</w:t>
      </w:r>
    </w:p>
    <w:p w14:paraId="613348FC" w14:textId="77777777" w:rsidR="00DA5AC5" w:rsidRPr="00DA5AC5" w:rsidRDefault="00DA5AC5"/>
    <w:p w14:paraId="11AB06D6" w14:textId="77777777" w:rsidR="00DA5AC5" w:rsidRDefault="00DA5AC5" w:rsidP="00DA5AC5">
      <w:r>
        <w:t>One aspect that is different for EN-DC for 5GC is the different QoS handling.  There are two fundamental differences from 5G QoS related to CN from RAN perspective:</w:t>
      </w:r>
    </w:p>
    <w:p w14:paraId="6931F47D" w14:textId="264E3CC0" w:rsidR="00DA5AC5" w:rsidRDefault="00DA5AC5" w:rsidP="00672EDA">
      <w:pPr>
        <w:pStyle w:val="ListParagraph"/>
        <w:numPr>
          <w:ilvl w:val="0"/>
          <w:numId w:val="8"/>
        </w:numPr>
      </w:pPr>
      <w:r>
        <w:t xml:space="preserve">DRB set up is controlled by RAN nodes </w:t>
      </w:r>
    </w:p>
    <w:p w14:paraId="3C7D5AD1" w14:textId="59A333EC" w:rsidR="00DA5AC5" w:rsidRDefault="00DA5AC5" w:rsidP="00672EDA">
      <w:pPr>
        <w:pStyle w:val="ListParagraph"/>
        <w:numPr>
          <w:ilvl w:val="0"/>
          <w:numId w:val="8"/>
        </w:numPr>
      </w:pPr>
      <w:r>
        <w:t>Reflective QoS flow at CN can result in a new flow without any NG-C signalling</w:t>
      </w:r>
    </w:p>
    <w:p w14:paraId="3011E3FC" w14:textId="77777777" w:rsidR="00DA5AC5" w:rsidRDefault="00DA5AC5" w:rsidP="00DA5AC5">
      <w:r>
        <w:t>In addition, at RAN level, the mapping of the QoS flow to DRBs using explicit or reflective mapping is supported.</w:t>
      </w:r>
    </w:p>
    <w:p w14:paraId="39640F24" w14:textId="4FB669F3" w:rsidR="00DA5AC5" w:rsidRDefault="00DA5AC5" w:rsidP="00DA5AC5">
      <w:r>
        <w:t>RAN3 has already agreed the principles of Dual connectivity in conjunction with 5G QoS as captured in TS 37.340 (see Annex A).   The roles of MN and SN and stage 2 aspects of tunnelling the QoS flow to the appropriate node has been agreed.   From the radio perspective, there are two SDAP entities on the network side in MN and SN while there is only one in the UE.  The SDAP entity is responsible for mapping of the QoS flow to the DRB, the bearer type for the DRB and triggering the establishment of the DRB as needed.</w:t>
      </w:r>
    </w:p>
    <w:p w14:paraId="4EA5B4B0" w14:textId="61F6E79B" w:rsidR="00DA5AC5" w:rsidRPr="00672EDA" w:rsidRDefault="00E74DBE" w:rsidP="00DA5AC5">
      <w:pPr>
        <w:rPr>
          <w:b/>
        </w:rPr>
      </w:pPr>
      <w:r w:rsidRPr="00E74DBE">
        <w:rPr>
          <w:b/>
        </w:rPr>
        <w:t>Proposal #</w:t>
      </w:r>
      <w:r>
        <w:rPr>
          <w:b/>
        </w:rPr>
        <w:t>3</w:t>
      </w:r>
      <w:r w:rsidR="00DA5AC5" w:rsidRPr="00672EDA">
        <w:rPr>
          <w:b/>
        </w:rPr>
        <w:t>: The node supporting SDAP entity is responsible for determining the QoS flow to DRB mapping rule, establishing and configuring the DRBs terminating on that node and the DRB type for these DRBs.</w:t>
      </w:r>
    </w:p>
    <w:p w14:paraId="2FCA0B57" w14:textId="240B685E" w:rsidR="00DA5AC5" w:rsidRDefault="00DA5AC5" w:rsidP="00DA5AC5">
      <w:r>
        <w:lastRenderedPageBreak/>
        <w:t xml:space="preserve">From UE perspective, as already agreed, there is only one SDAP entity per PDU session even if the network side has two entities.   UE does not differentiate where the SDAP entity resides in the network.  The SDAP configuration is part of the DRB configuration and impacts only the DRB being (re)configured.   </w:t>
      </w:r>
      <w:r w:rsidR="008F1A8F">
        <w:t xml:space="preserve">The </w:t>
      </w:r>
      <w:r w:rsidR="00E65B2C">
        <w:t xml:space="preserve">same </w:t>
      </w:r>
      <w:r w:rsidR="008F1A8F">
        <w:t xml:space="preserve">PDU session ID associated with the SDAP entities ensures that the two network SDAP entities </w:t>
      </w:r>
      <w:r w:rsidR="00E65B2C">
        <w:t>are seen as one by the UE</w:t>
      </w:r>
      <w:r>
        <w:t>.</w:t>
      </w:r>
      <w:r w:rsidR="00E74DBE">
        <w:t xml:space="preserve">  </w:t>
      </w:r>
      <w:r w:rsidR="00E65B2C">
        <w:t xml:space="preserve">PDU session ID exchange between MN and SN is already </w:t>
      </w:r>
      <w:r w:rsidR="00A5508D">
        <w:t xml:space="preserve">exchanged by RAN3 over Xn-AP for coordination between MN and SN.  </w:t>
      </w:r>
      <w:r w:rsidR="00E65B2C">
        <w:t xml:space="preserve"> </w:t>
      </w:r>
    </w:p>
    <w:p w14:paraId="7521E4B0" w14:textId="05FC006E" w:rsidR="00DA5AC5" w:rsidRDefault="00A5508D" w:rsidP="00DA5AC5">
      <w:pPr>
        <w:rPr>
          <w:b/>
        </w:rPr>
      </w:pPr>
      <w:r>
        <w:rPr>
          <w:b/>
        </w:rPr>
        <w:t>Observation</w:t>
      </w:r>
      <w:r w:rsidR="00E74DBE" w:rsidRPr="00E74DBE">
        <w:rPr>
          <w:b/>
        </w:rPr>
        <w:t xml:space="preserve"> #</w:t>
      </w:r>
      <w:r>
        <w:rPr>
          <w:b/>
        </w:rPr>
        <w:t>1</w:t>
      </w:r>
      <w:r w:rsidR="00DA5AC5" w:rsidRPr="00672EDA">
        <w:rPr>
          <w:b/>
        </w:rPr>
        <w:t xml:space="preserve">: Network coordination </w:t>
      </w:r>
      <w:r w:rsidR="005132E3">
        <w:rPr>
          <w:b/>
        </w:rPr>
        <w:t>of</w:t>
      </w:r>
      <w:r>
        <w:rPr>
          <w:b/>
        </w:rPr>
        <w:t xml:space="preserve"> </w:t>
      </w:r>
      <w:r w:rsidR="00DA5AC5" w:rsidRPr="00672EDA">
        <w:rPr>
          <w:b/>
        </w:rPr>
        <w:t xml:space="preserve">PDU Session </w:t>
      </w:r>
      <w:r>
        <w:rPr>
          <w:b/>
        </w:rPr>
        <w:t xml:space="preserve">ID for SDAP </w:t>
      </w:r>
      <w:r w:rsidR="00DA5AC5" w:rsidRPr="00672EDA">
        <w:rPr>
          <w:b/>
        </w:rPr>
        <w:t>used by MN and SN</w:t>
      </w:r>
      <w:r>
        <w:rPr>
          <w:b/>
        </w:rPr>
        <w:t xml:space="preserve"> is provided in Xn-AP</w:t>
      </w:r>
      <w:r w:rsidR="00DA5AC5" w:rsidRPr="00672EDA">
        <w:rPr>
          <w:b/>
        </w:rPr>
        <w:t>.</w:t>
      </w:r>
      <w:r w:rsidR="00E74DBE">
        <w:rPr>
          <w:b/>
        </w:rPr>
        <w:t xml:space="preserve">  </w:t>
      </w:r>
    </w:p>
    <w:p w14:paraId="77A71DE8" w14:textId="44071886" w:rsidR="00DA5AC5" w:rsidRDefault="00DA5AC5" w:rsidP="00DA5AC5"/>
    <w:p w14:paraId="39928C3E" w14:textId="77777777" w:rsidR="00DA5AC5" w:rsidRPr="007C0F16" w:rsidRDefault="00DA5AC5" w:rsidP="001E1C0F">
      <w:pPr>
        <w:rPr>
          <w:b/>
        </w:rPr>
      </w:pPr>
    </w:p>
    <w:p w14:paraId="364D696F" w14:textId="77777777" w:rsidR="00B12D32" w:rsidRDefault="00040C7C" w:rsidP="00040C7C">
      <w:pPr>
        <w:pStyle w:val="Heading1"/>
      </w:pPr>
      <w:r>
        <w:t>Summary and proposal</w:t>
      </w:r>
    </w:p>
    <w:p w14:paraId="364D6970" w14:textId="77777777" w:rsidR="00040C7C" w:rsidRDefault="00040C7C" w:rsidP="00040C7C">
      <w:r>
        <w:t xml:space="preserve">This document examined </w:t>
      </w:r>
      <w:r w:rsidR="003B4583">
        <w:t>how to progress NG-EN-DC architecture.  Most of this depend on solutions for eLTE and SA NR.  5G QoS bearer handling is to be discussed in RAN3 first.  For RAN2, a main topic is early SCG addition during resumption from Inactive.  The following proposal is made:</w:t>
      </w:r>
    </w:p>
    <w:p w14:paraId="2D34B7CE" w14:textId="77777777" w:rsidR="005132E3" w:rsidRPr="00672EDA" w:rsidRDefault="005132E3" w:rsidP="005132E3">
      <w:r w:rsidRPr="001716FC">
        <w:rPr>
          <w:b/>
        </w:rPr>
        <w:t xml:space="preserve">Proposal #1: </w:t>
      </w:r>
      <w:r w:rsidRPr="00672EDA">
        <w:t>confirm that principles for MR-DC captured in 37.340 are applicable for NE-DC:</w:t>
      </w:r>
    </w:p>
    <w:p w14:paraId="5A7C2F67" w14:textId="77777777" w:rsidR="005132E3" w:rsidRPr="00672EDA" w:rsidRDefault="005132E3" w:rsidP="005132E3">
      <w:pPr>
        <w:pStyle w:val="ListParagraph"/>
        <w:numPr>
          <w:ilvl w:val="0"/>
          <w:numId w:val="9"/>
        </w:numPr>
      </w:pPr>
      <w:r w:rsidRPr="00672EDA">
        <w:t>RRC Reconfiguration messages generated by the SN are transported via the MN to the UE</w:t>
      </w:r>
    </w:p>
    <w:p w14:paraId="69336CE4" w14:textId="77777777" w:rsidR="005132E3" w:rsidRPr="00672EDA" w:rsidRDefault="005132E3" w:rsidP="005132E3">
      <w:pPr>
        <w:pStyle w:val="ListParagraph"/>
        <w:numPr>
          <w:ilvl w:val="0"/>
          <w:numId w:val="9"/>
        </w:numPr>
      </w:pPr>
      <w:r w:rsidRPr="00672EDA">
        <w:t>Joint success and failure of the combined message is used</w:t>
      </w:r>
    </w:p>
    <w:p w14:paraId="74E544EF" w14:textId="77777777" w:rsidR="005132E3" w:rsidRPr="00672EDA" w:rsidRDefault="005132E3" w:rsidP="005132E3">
      <w:pPr>
        <w:pStyle w:val="ListParagraph"/>
        <w:numPr>
          <w:ilvl w:val="0"/>
          <w:numId w:val="9"/>
        </w:numPr>
      </w:pPr>
      <w:r w:rsidRPr="00672EDA">
        <w:t>SRB3 is not applicable for NE-DC</w:t>
      </w:r>
    </w:p>
    <w:p w14:paraId="1A928A6D" w14:textId="77777777" w:rsidR="005132E3" w:rsidRPr="00672EDA" w:rsidRDefault="005132E3" w:rsidP="005132E3">
      <w:r>
        <w:rPr>
          <w:b/>
        </w:rPr>
        <w:t>Proposal #2</w:t>
      </w:r>
      <w:r w:rsidRPr="001716FC">
        <w:rPr>
          <w:b/>
        </w:rPr>
        <w:t xml:space="preserve">: </w:t>
      </w:r>
      <w:r w:rsidRPr="00672EDA">
        <w:t xml:space="preserve">confirm that the unified bearer concept from EN-DC is used for all DC options of MR-DC. </w:t>
      </w:r>
    </w:p>
    <w:p w14:paraId="02D525FB" w14:textId="77777777" w:rsidR="005132E3" w:rsidRPr="00672EDA" w:rsidRDefault="005132E3" w:rsidP="005132E3">
      <w:pPr>
        <w:rPr>
          <w:b/>
        </w:rPr>
      </w:pPr>
      <w:r w:rsidRPr="00E74DBE">
        <w:rPr>
          <w:b/>
        </w:rPr>
        <w:t>Proposal #</w:t>
      </w:r>
      <w:r>
        <w:rPr>
          <w:b/>
        </w:rPr>
        <w:t>3</w:t>
      </w:r>
      <w:r w:rsidRPr="00672EDA">
        <w:rPr>
          <w:b/>
        </w:rPr>
        <w:t xml:space="preserve">: </w:t>
      </w:r>
      <w:r w:rsidRPr="005132E3">
        <w:t>The node supporting SDAP entity is responsible for determining the QoS flow to DRB mapping rule, establishing and configuring the DRBs terminating on that node and the DRB type for these DRBs.</w:t>
      </w:r>
    </w:p>
    <w:p w14:paraId="461ED25E" w14:textId="77777777" w:rsidR="005132E3" w:rsidRPr="00672EDA" w:rsidRDefault="005132E3" w:rsidP="005132E3">
      <w:r>
        <w:rPr>
          <w:b/>
        </w:rPr>
        <w:t>Observation</w:t>
      </w:r>
      <w:r w:rsidRPr="00E74DBE">
        <w:rPr>
          <w:b/>
        </w:rPr>
        <w:t xml:space="preserve"> #</w:t>
      </w:r>
      <w:r>
        <w:rPr>
          <w:b/>
        </w:rPr>
        <w:t>1</w:t>
      </w:r>
      <w:r w:rsidRPr="00672EDA">
        <w:rPr>
          <w:b/>
        </w:rPr>
        <w:t xml:space="preserve">: </w:t>
      </w:r>
      <w:r w:rsidRPr="005132E3">
        <w:t xml:space="preserve">Network coordination </w:t>
      </w:r>
      <w:r w:rsidRPr="00672EDA">
        <w:t xml:space="preserve">for </w:t>
      </w:r>
      <w:r w:rsidRPr="005132E3">
        <w:t xml:space="preserve">PDU Session </w:t>
      </w:r>
      <w:r w:rsidRPr="00672EDA">
        <w:t xml:space="preserve">ID for SDAP </w:t>
      </w:r>
      <w:r w:rsidRPr="005132E3">
        <w:t>used by MN and SN</w:t>
      </w:r>
      <w:r w:rsidRPr="00672EDA">
        <w:t xml:space="preserve"> is provided in Xn-AP</w:t>
      </w:r>
      <w:r w:rsidRPr="005132E3">
        <w:t>.</w:t>
      </w:r>
      <w:r w:rsidRPr="00672EDA">
        <w:t xml:space="preserve">  </w:t>
      </w:r>
    </w:p>
    <w:p w14:paraId="364D6972" w14:textId="77777777" w:rsidR="003B4583" w:rsidRDefault="003B4583" w:rsidP="00040C7C"/>
    <w:p w14:paraId="6E3D1464" w14:textId="77AECF6C" w:rsidR="00956944" w:rsidRDefault="00956944" w:rsidP="00672EDA">
      <w:pPr>
        <w:pStyle w:val="Heading1"/>
      </w:pPr>
      <w:r>
        <w:t>Annex</w:t>
      </w:r>
      <w:r w:rsidR="00A678DB">
        <w:t xml:space="preserve"> (relevant text from </w:t>
      </w:r>
      <w:r w:rsidR="004A2F42">
        <w:t xml:space="preserve">RAN3 agreements captured in </w:t>
      </w:r>
      <w:r w:rsidR="00A678DB">
        <w:t>3</w:t>
      </w:r>
      <w:r w:rsidR="004A2F42">
        <w:t>7.340)</w:t>
      </w:r>
      <w:r>
        <w:t xml:space="preserve">: </w:t>
      </w:r>
    </w:p>
    <w:p w14:paraId="54179FF4" w14:textId="77777777" w:rsidR="00956944" w:rsidRDefault="00956944" w:rsidP="00956944">
      <w:pPr>
        <w:overflowPunct w:val="0"/>
        <w:autoSpaceDE w:val="0"/>
        <w:autoSpaceDN w:val="0"/>
        <w:spacing w:after="180"/>
        <w:rPr>
          <w:rFonts w:ascii="Times New Roman" w:hAnsi="Times New Roman" w:cs="Times New Roman"/>
          <w:sz w:val="20"/>
          <w:szCs w:val="20"/>
          <w:lang w:eastAsia="ja-JP"/>
        </w:rPr>
      </w:pPr>
      <w:bookmarkStart w:id="1" w:name="_GoBack"/>
      <w:bookmarkEnd w:id="1"/>
      <w:r>
        <w:rPr>
          <w:rFonts w:ascii="Times New Roman" w:hAnsi="Times New Roman" w:cs="Times New Roman"/>
          <w:sz w:val="20"/>
          <w:szCs w:val="20"/>
          <w:lang w:eastAsia="ja-JP"/>
        </w:rPr>
        <w:t>In MR-DC with 5GC:</w:t>
      </w:r>
    </w:p>
    <w:p w14:paraId="29604037" w14:textId="77777777" w:rsidR="00956944" w:rsidRDefault="00956944" w:rsidP="00956944">
      <w:pPr>
        <w:overflowPunct w:val="0"/>
        <w:autoSpaceDE w:val="0"/>
        <w:autoSpaceDN w:val="0"/>
        <w:spacing w:after="180"/>
        <w:ind w:left="568" w:hanging="284"/>
        <w:rPr>
          <w:rFonts w:ascii="Times New Roman" w:hAnsi="Times New Roman" w:cs="Times New Roman"/>
          <w:sz w:val="20"/>
          <w:szCs w:val="20"/>
          <w:lang w:eastAsia="ja-JP"/>
        </w:rPr>
      </w:pPr>
      <w:r>
        <w:rPr>
          <w:rFonts w:ascii="Times New Roman" w:hAnsi="Times New Roman" w:cs="Times New Roman"/>
          <w:sz w:val="20"/>
          <w:szCs w:val="20"/>
          <w:lang w:eastAsia="ja-JP"/>
        </w:rPr>
        <w:t>-     The NG-RAN QoS framework defined in TS 38.300 [3] applies;</w:t>
      </w:r>
    </w:p>
    <w:p w14:paraId="6C8C3906" w14:textId="77777777" w:rsidR="00956944" w:rsidRDefault="00956944" w:rsidP="00956944">
      <w:pPr>
        <w:overflowPunct w:val="0"/>
        <w:autoSpaceDE w:val="0"/>
        <w:autoSpaceDN w:val="0"/>
        <w:spacing w:after="180"/>
        <w:ind w:left="568" w:hanging="284"/>
        <w:rPr>
          <w:rFonts w:ascii="Times New Roman" w:hAnsi="Times New Roman" w:cs="Times New Roman"/>
          <w:sz w:val="20"/>
          <w:szCs w:val="20"/>
          <w:highlight w:val="yellow"/>
          <w:lang w:eastAsia="ja-JP"/>
        </w:rPr>
      </w:pPr>
      <w:r>
        <w:rPr>
          <w:rFonts w:ascii="Times New Roman" w:hAnsi="Times New Roman" w:cs="Times New Roman"/>
          <w:sz w:val="20"/>
          <w:szCs w:val="20"/>
          <w:highlight w:val="yellow"/>
          <w:lang w:eastAsia="ja-JP"/>
        </w:rPr>
        <w:t>-     QoS flows belonging to the same PDU session may be mapped to different bearer types (see subclause 4.2.2) and as a result there may be two different SDAP entities configured for the same PDU session: one at the MN and another one at the SN, in which case the MN decides which QoS flows are assigned to the SDAP entity in the SN;</w:t>
      </w:r>
    </w:p>
    <w:p w14:paraId="5A747A1D" w14:textId="77777777" w:rsidR="00956944" w:rsidRDefault="00956944" w:rsidP="00956944">
      <w:pPr>
        <w:overflowPunct w:val="0"/>
        <w:autoSpaceDE w:val="0"/>
        <w:autoSpaceDN w:val="0"/>
        <w:spacing w:after="180"/>
        <w:ind w:left="568" w:hanging="284"/>
        <w:rPr>
          <w:rFonts w:ascii="Times New Roman" w:hAnsi="Times New Roman" w:cs="Times New Roman"/>
          <w:sz w:val="20"/>
          <w:szCs w:val="20"/>
          <w:highlight w:val="yellow"/>
          <w:lang w:eastAsia="x-none"/>
        </w:rPr>
      </w:pPr>
      <w:r>
        <w:rPr>
          <w:rFonts w:ascii="Times New Roman" w:hAnsi="Times New Roman" w:cs="Times New Roman"/>
          <w:sz w:val="20"/>
          <w:szCs w:val="20"/>
          <w:highlight w:val="yellow"/>
          <w:lang w:eastAsia="zh-CN"/>
        </w:rPr>
        <w:t xml:space="preserve">-     </w:t>
      </w:r>
      <w:r>
        <w:rPr>
          <w:rFonts w:ascii="Times New Roman" w:hAnsi="Times New Roman" w:cs="Times New Roman"/>
          <w:sz w:val="20"/>
          <w:szCs w:val="20"/>
          <w:highlight w:val="yellow"/>
          <w:lang w:eastAsia="x-none"/>
        </w:rPr>
        <w:t>The MN or SN node that hosts the SDAP entity for a given QoS flow decides how to map the QoS flow to DRBs;</w:t>
      </w:r>
    </w:p>
    <w:p w14:paraId="417D89C5" w14:textId="77777777" w:rsidR="00956944" w:rsidRDefault="00956944" w:rsidP="00956944">
      <w:pPr>
        <w:overflowPunct w:val="0"/>
        <w:autoSpaceDE w:val="0"/>
        <w:autoSpaceDN w:val="0"/>
        <w:spacing w:after="180"/>
        <w:ind w:left="568" w:hanging="284"/>
        <w:rPr>
          <w:rFonts w:ascii="Times New Roman" w:hAnsi="Times New Roman" w:cs="Times New Roman"/>
          <w:sz w:val="20"/>
          <w:szCs w:val="20"/>
          <w:highlight w:val="yellow"/>
          <w:lang w:eastAsia="x-none"/>
        </w:rPr>
      </w:pPr>
      <w:r>
        <w:rPr>
          <w:rFonts w:ascii="Times New Roman" w:hAnsi="Times New Roman" w:cs="Times New Roman"/>
          <w:sz w:val="20"/>
          <w:szCs w:val="20"/>
          <w:highlight w:val="yellow"/>
          <w:lang w:eastAsia="x-none"/>
        </w:rPr>
        <w:t>-     If the SDAP entity for a given QoS flow is hosted by the MN and the MN decides that SCG resources are to be configured it provides QoS flow to DRB mapping information and the respective per QoS flow information to the SN;</w:t>
      </w:r>
    </w:p>
    <w:p w14:paraId="081B1F3D" w14:textId="77777777" w:rsidR="00956944" w:rsidRDefault="00956944" w:rsidP="00956944">
      <w:pPr>
        <w:overflowPunct w:val="0"/>
        <w:autoSpaceDE w:val="0"/>
        <w:autoSpaceDN w:val="0"/>
        <w:spacing w:after="180"/>
        <w:ind w:left="568" w:hanging="284"/>
        <w:rPr>
          <w:rFonts w:ascii="Times New Roman" w:hAnsi="Times New Roman" w:cs="Times New Roman"/>
          <w:sz w:val="20"/>
          <w:szCs w:val="20"/>
          <w:lang w:eastAsia="x-none"/>
        </w:rPr>
      </w:pPr>
      <w:r>
        <w:rPr>
          <w:rFonts w:ascii="Times New Roman" w:hAnsi="Times New Roman" w:cs="Times New Roman"/>
          <w:sz w:val="20"/>
          <w:szCs w:val="20"/>
          <w:highlight w:val="yellow"/>
          <w:lang w:eastAsia="x-none"/>
        </w:rPr>
        <w:lastRenderedPageBreak/>
        <w:t>-     If the SDAP entity for a given QoS flow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w:t>
      </w:r>
    </w:p>
    <w:p w14:paraId="138A2461" w14:textId="77777777" w:rsidR="00956944" w:rsidRDefault="00956944" w:rsidP="00956944">
      <w:pPr>
        <w:overflowPunct w:val="0"/>
        <w:autoSpaceDE w:val="0"/>
        <w:autoSpaceDN w:val="0"/>
        <w:spacing w:after="180"/>
        <w:rPr>
          <w:rFonts w:ascii="Times New Roman" w:hAnsi="Times New Roman" w:cs="Times New Roman"/>
          <w:color w:val="000000"/>
          <w:sz w:val="20"/>
          <w:szCs w:val="20"/>
          <w:lang w:eastAsia="ja-JP"/>
        </w:rPr>
      </w:pPr>
      <w:r>
        <w:rPr>
          <w:rFonts w:ascii="Times New Roman" w:hAnsi="Times New Roman" w:cs="Times New Roman"/>
          <w:sz w:val="20"/>
          <w:szCs w:val="20"/>
          <w:lang w:eastAsia="ja-JP"/>
        </w:rPr>
        <w:t xml:space="preserve">To support PDU sessions mapped to different bearer types, MR-DC with 5GC provides </w:t>
      </w:r>
      <w:r>
        <w:rPr>
          <w:rFonts w:ascii="Times New Roman" w:hAnsi="Times New Roman" w:cs="Times New Roman"/>
          <w:color w:val="000000"/>
          <w:sz w:val="20"/>
          <w:szCs w:val="20"/>
          <w:lang w:eastAsia="ja-JP"/>
        </w:rPr>
        <w:t>the possibility for the MN to request the 5GC:</w:t>
      </w:r>
    </w:p>
    <w:p w14:paraId="35A26013" w14:textId="77777777" w:rsidR="00956944" w:rsidRDefault="00956944" w:rsidP="00956944">
      <w:pPr>
        <w:overflowPunct w:val="0"/>
        <w:autoSpaceDE w:val="0"/>
        <w:autoSpaceDN w:val="0"/>
        <w:spacing w:after="180"/>
        <w:ind w:left="568" w:hanging="284"/>
        <w:rPr>
          <w:rFonts w:ascii="Times New Roman" w:hAnsi="Times New Roman" w:cs="Times New Roman"/>
          <w:sz w:val="20"/>
          <w:szCs w:val="20"/>
          <w:lang w:eastAsia="x-none"/>
        </w:rPr>
      </w:pPr>
      <w:r>
        <w:rPr>
          <w:rFonts w:ascii="Times New Roman" w:hAnsi="Times New Roman" w:cs="Times New Roman"/>
          <w:sz w:val="20"/>
          <w:szCs w:val="20"/>
          <w:lang w:eastAsia="x-none"/>
        </w:rPr>
        <w:t>-     For some PDU sessions of a UE: Direct the User Plane traffic of the whole PDU session either to the MN or to the SN. In that case, there is a single NG-U tunnel termination at the NG-RAN for such PDU session.</w:t>
      </w:r>
    </w:p>
    <w:p w14:paraId="314C93A4" w14:textId="77777777" w:rsidR="00956944" w:rsidRDefault="00956944" w:rsidP="00956944">
      <w:pPr>
        <w:overflowPunct w:val="0"/>
        <w:autoSpaceDE w:val="0"/>
        <w:autoSpaceDN w:val="0"/>
        <w:spacing w:after="180"/>
        <w:ind w:left="851" w:hanging="284"/>
        <w:rPr>
          <w:rFonts w:ascii="Times New Roman" w:hAnsi="Times New Roman" w:cs="Times New Roman"/>
          <w:sz w:val="20"/>
          <w:szCs w:val="20"/>
          <w:lang w:eastAsia="ja-JP"/>
        </w:rPr>
      </w:pPr>
      <w:r>
        <w:rPr>
          <w:rFonts w:ascii="Times New Roman" w:hAnsi="Times New Roman" w:cs="Times New Roman"/>
          <w:sz w:val="20"/>
          <w:szCs w:val="20"/>
          <w:lang w:eastAsia="ja-JP"/>
        </w:rPr>
        <w:t xml:space="preserve">-     The MN may </w:t>
      </w:r>
      <w:r>
        <w:rPr>
          <w:rFonts w:ascii="Times New Roman" w:hAnsi="Times New Roman" w:cs="Times New Roman"/>
          <w:sz w:val="20"/>
          <w:szCs w:val="20"/>
          <w:lang w:eastAsia="zh-CN"/>
        </w:rPr>
        <w:t xml:space="preserve">request to </w:t>
      </w:r>
      <w:r>
        <w:rPr>
          <w:rFonts w:ascii="Times New Roman" w:hAnsi="Times New Roman" w:cs="Times New Roman"/>
          <w:sz w:val="20"/>
          <w:szCs w:val="20"/>
          <w:lang w:eastAsia="ja-JP"/>
        </w:rPr>
        <w:t>change this assignment during the life time of the PDU session.</w:t>
      </w:r>
    </w:p>
    <w:p w14:paraId="61C8D324" w14:textId="77777777" w:rsidR="00956944" w:rsidRDefault="00956944" w:rsidP="00956944">
      <w:pPr>
        <w:overflowPunct w:val="0"/>
        <w:autoSpaceDE w:val="0"/>
        <w:autoSpaceDN w:val="0"/>
        <w:spacing w:after="180"/>
        <w:ind w:left="568" w:hanging="284"/>
        <w:rPr>
          <w:rFonts w:ascii="Times New Roman" w:hAnsi="Times New Roman" w:cs="Times New Roman"/>
          <w:sz w:val="20"/>
          <w:szCs w:val="20"/>
          <w:lang w:eastAsia="x-none"/>
        </w:rPr>
      </w:pPr>
      <w:r>
        <w:rPr>
          <w:rFonts w:ascii="Times New Roman" w:hAnsi="Times New Roman" w:cs="Times New Roman"/>
          <w:sz w:val="20"/>
          <w:szCs w:val="20"/>
          <w:lang w:eastAsia="x-none"/>
        </w:rPr>
        <w:t>-     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p>
    <w:p w14:paraId="705900BD" w14:textId="77777777" w:rsidR="00956944" w:rsidRDefault="00956944" w:rsidP="00956944">
      <w:pPr>
        <w:overflowPunct w:val="0"/>
        <w:autoSpaceDE w:val="0"/>
        <w:autoSpaceDN w:val="0"/>
        <w:spacing w:after="180"/>
        <w:ind w:left="851" w:hanging="284"/>
        <w:rPr>
          <w:rFonts w:ascii="Times New Roman" w:hAnsi="Times New Roman" w:cs="Times New Roman"/>
          <w:sz w:val="20"/>
          <w:szCs w:val="20"/>
          <w:lang w:eastAsia="ja-JP"/>
        </w:rPr>
      </w:pPr>
      <w:r>
        <w:rPr>
          <w:rFonts w:ascii="Times New Roman" w:hAnsi="Times New Roman" w:cs="Times New Roman"/>
          <w:sz w:val="20"/>
          <w:szCs w:val="20"/>
          <w:lang w:eastAsia="ja-JP"/>
        </w:rPr>
        <w:t xml:space="preserve">-     The MN may </w:t>
      </w:r>
      <w:r>
        <w:rPr>
          <w:rFonts w:ascii="Times New Roman" w:hAnsi="Times New Roman" w:cs="Times New Roman"/>
          <w:sz w:val="20"/>
          <w:szCs w:val="20"/>
          <w:lang w:eastAsia="zh-CN"/>
        </w:rPr>
        <w:t xml:space="preserve">request to </w:t>
      </w:r>
      <w:r>
        <w:rPr>
          <w:rFonts w:ascii="Times New Roman" w:hAnsi="Times New Roman" w:cs="Times New Roman"/>
          <w:sz w:val="20"/>
          <w:szCs w:val="20"/>
          <w:lang w:eastAsia="ja-JP"/>
        </w:rPr>
        <w:t>change this assignment during the life time of the PDU session.</w:t>
      </w:r>
    </w:p>
    <w:p w14:paraId="217E4BBF" w14:textId="77777777" w:rsidR="00956944" w:rsidRDefault="00956944" w:rsidP="00956944">
      <w:pPr>
        <w:keepNext/>
        <w:overflowPunct w:val="0"/>
        <w:autoSpaceDE w:val="0"/>
        <w:autoSpaceDN w:val="0"/>
        <w:spacing w:before="180" w:after="180"/>
        <w:ind w:left="1134" w:hanging="1134"/>
        <w:rPr>
          <w:rFonts w:ascii="Arial" w:hAnsi="Arial" w:cs="Arial"/>
          <w:sz w:val="32"/>
          <w:szCs w:val="32"/>
          <w:lang w:eastAsia="x-none"/>
        </w:rPr>
      </w:pPr>
      <w:bookmarkStart w:id="2" w:name="_Toc510393433"/>
      <w:r>
        <w:rPr>
          <w:rFonts w:ascii="Arial" w:hAnsi="Arial" w:cs="Arial"/>
          <w:sz w:val="32"/>
          <w:szCs w:val="32"/>
          <w:lang w:eastAsia="x-none"/>
        </w:rPr>
        <w:t>8.2        Bearer type selection</w:t>
      </w:r>
      <w:bookmarkEnd w:id="2"/>
    </w:p>
    <w:p w14:paraId="052CA63F" w14:textId="77777777" w:rsidR="00956944" w:rsidRDefault="00956944" w:rsidP="00956944">
      <w:pPr>
        <w:overflowPunct w:val="0"/>
        <w:autoSpaceDE w:val="0"/>
        <w:autoSpaceDN w:val="0"/>
        <w:spacing w:after="180"/>
        <w:rPr>
          <w:rFonts w:ascii="Times New Roman" w:hAnsi="Times New Roman" w:cs="Times New Roman"/>
          <w:sz w:val="20"/>
          <w:szCs w:val="20"/>
          <w:lang w:eastAsia="ja-JP"/>
        </w:rPr>
      </w:pPr>
      <w:r>
        <w:rPr>
          <w:rFonts w:ascii="Times New Roman" w:hAnsi="Times New Roman" w:cs="Times New Roman"/>
          <w:sz w:val="20"/>
          <w:szCs w:val="20"/>
          <w:lang w:eastAsia="ja-JP"/>
        </w:rPr>
        <w:t>In EN-DC, for each radio bearer the MN decides the location of the PDCP entity and in which cell group(s) radio resources are to be configured. Once an SN terminated split bearer is established, e.g. by means of the Secondary Node Addition procedure or MN initiated Secondary Node Modification procedure, the SN may remove and later on add SCG resources for the respective E-RAB, as long as the QoS for the respective E-RAB is guaranteed.</w:t>
      </w:r>
    </w:p>
    <w:p w14:paraId="1CF279C8" w14:textId="77777777" w:rsidR="00956944" w:rsidRDefault="00956944" w:rsidP="00956944">
      <w:pPr>
        <w:overflowPunct w:val="0"/>
        <w:autoSpaceDE w:val="0"/>
        <w:autoSpaceDN w:val="0"/>
        <w:spacing w:after="180"/>
        <w:rPr>
          <w:rFonts w:ascii="Times New Roman" w:hAnsi="Times New Roman" w:cs="Times New Roman"/>
          <w:sz w:val="20"/>
          <w:szCs w:val="20"/>
          <w:lang w:eastAsia="ja-JP"/>
        </w:rPr>
      </w:pPr>
      <w:r>
        <w:rPr>
          <w:rFonts w:ascii="Times New Roman" w:hAnsi="Times New Roman" w:cs="Times New Roman"/>
          <w:sz w:val="20"/>
          <w:szCs w:val="20"/>
          <w:lang w:eastAsia="ja-JP"/>
        </w:rPr>
        <w:t>In MR-DC with 5GC, the following principles apply:</w:t>
      </w:r>
    </w:p>
    <w:p w14:paraId="1D36BEA8" w14:textId="77777777" w:rsidR="00956944" w:rsidRDefault="00956944" w:rsidP="00956944">
      <w:pPr>
        <w:overflowPunct w:val="0"/>
        <w:autoSpaceDE w:val="0"/>
        <w:autoSpaceDN w:val="0"/>
        <w:spacing w:after="180"/>
        <w:ind w:left="568" w:hanging="284"/>
        <w:rPr>
          <w:rFonts w:ascii="Times New Roman" w:hAnsi="Times New Roman" w:cs="Times New Roman"/>
          <w:sz w:val="20"/>
          <w:szCs w:val="20"/>
          <w:highlight w:val="yellow"/>
          <w:lang w:eastAsia="x-none"/>
        </w:rPr>
      </w:pPr>
      <w:r>
        <w:rPr>
          <w:rFonts w:ascii="Times New Roman" w:hAnsi="Times New Roman" w:cs="Times New Roman"/>
          <w:sz w:val="20"/>
          <w:szCs w:val="20"/>
          <w:highlight w:val="yellow"/>
          <w:lang w:eastAsia="x-none"/>
        </w:rPr>
        <w:t>-     The MN decides per PDU session the location of the SDAP entity, i.e. whether it shall be hosted by the MN or the SN or by both;</w:t>
      </w:r>
    </w:p>
    <w:p w14:paraId="583CF411" w14:textId="77777777" w:rsidR="00956944" w:rsidRDefault="00956944" w:rsidP="00956944">
      <w:pPr>
        <w:overflowPunct w:val="0"/>
        <w:autoSpaceDE w:val="0"/>
        <w:autoSpaceDN w:val="0"/>
        <w:spacing w:after="180"/>
        <w:ind w:left="568" w:hanging="284"/>
        <w:rPr>
          <w:rFonts w:ascii="Times New Roman" w:hAnsi="Times New Roman" w:cs="Times New Roman"/>
          <w:sz w:val="20"/>
          <w:szCs w:val="20"/>
          <w:highlight w:val="yellow"/>
          <w:lang w:eastAsia="x-none"/>
        </w:rPr>
      </w:pPr>
      <w:r>
        <w:rPr>
          <w:rFonts w:ascii="Times New Roman" w:hAnsi="Times New Roman" w:cs="Times New Roman"/>
          <w:sz w:val="20"/>
          <w:szCs w:val="20"/>
          <w:highlight w:val="yellow"/>
          <w:lang w:eastAsia="x-none"/>
        </w:rPr>
        <w:t>-     If the MN decides to host an SDAP entity it may decide some of the related QoS flows to be realized as MCG bearer, some as SCG bearer, and others to be realized as split bearer;</w:t>
      </w:r>
    </w:p>
    <w:p w14:paraId="356C237E" w14:textId="77777777" w:rsidR="00956944" w:rsidRDefault="00956944" w:rsidP="00956944">
      <w:pPr>
        <w:overflowPunct w:val="0"/>
        <w:autoSpaceDE w:val="0"/>
        <w:autoSpaceDN w:val="0"/>
        <w:spacing w:after="180"/>
        <w:ind w:left="568" w:hanging="284"/>
        <w:rPr>
          <w:rFonts w:ascii="Times New Roman" w:hAnsi="Times New Roman" w:cs="Times New Roman"/>
          <w:sz w:val="20"/>
          <w:szCs w:val="20"/>
          <w:lang w:eastAsia="x-none"/>
        </w:rPr>
      </w:pPr>
      <w:r>
        <w:rPr>
          <w:rFonts w:ascii="Times New Roman" w:hAnsi="Times New Roman" w:cs="Times New Roman"/>
          <w:sz w:val="20"/>
          <w:szCs w:val="20"/>
          <w:highlight w:val="yellow"/>
          <w:lang w:eastAsia="x-none"/>
        </w:rPr>
        <w:t>-     If the MN decides that an SDAP entity shall be hosted in the SN, some of the related QoS flows may be realized as SCG bearer, some as MCG bearer, while others may be realized as split bearer. The SN may remove or add SCG resources for the respective QoS flows, as long as the QoS for the respective QoS flow is guaranteed.</w:t>
      </w:r>
    </w:p>
    <w:p w14:paraId="320EDDE2" w14:textId="77777777" w:rsidR="00956944" w:rsidRPr="00040C7C" w:rsidRDefault="00956944" w:rsidP="00040C7C"/>
    <w:sectPr w:rsidR="00956944" w:rsidRPr="00040C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D35F72"/>
    <w:multiLevelType w:val="hybridMultilevel"/>
    <w:tmpl w:val="0F06D4A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27D3BB2"/>
    <w:multiLevelType w:val="hybridMultilevel"/>
    <w:tmpl w:val="C428B0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A0958E6"/>
    <w:multiLevelType w:val="hybridMultilevel"/>
    <w:tmpl w:val="CB0C4728"/>
    <w:lvl w:ilvl="0" w:tplc="FD30A2A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B834AD8"/>
    <w:multiLevelType w:val="hybridMultilevel"/>
    <w:tmpl w:val="120E048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D24DD8"/>
    <w:multiLevelType w:val="hybridMultilevel"/>
    <w:tmpl w:val="3DC4FB9C"/>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52A37C18"/>
    <w:multiLevelType w:val="hybridMultilevel"/>
    <w:tmpl w:val="9C38AF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83A68C9"/>
    <w:multiLevelType w:val="hybridMultilevel"/>
    <w:tmpl w:val="5A2A5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F772D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7FC1745C"/>
    <w:multiLevelType w:val="hybridMultilevel"/>
    <w:tmpl w:val="048CB4A8"/>
    <w:lvl w:ilvl="0" w:tplc="62EA3E94">
      <w:start w:val="1"/>
      <w:numFmt w:val="bullet"/>
      <w:lvlText w:val=""/>
      <w:lvlJc w:val="left"/>
      <w:pPr>
        <w:ind w:left="1080" w:hanging="360"/>
      </w:pPr>
      <w:rPr>
        <w:rFonts w:ascii="Symbol" w:eastAsiaTheme="minorHAnsi" w:hAnsi="Symbol"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
  </w:num>
  <w:num w:numId="2">
    <w:abstractNumId w:val="3"/>
  </w:num>
  <w:num w:numId="3">
    <w:abstractNumId w:val="5"/>
  </w:num>
  <w:num w:numId="4">
    <w:abstractNumId w:val="4"/>
  </w:num>
  <w:num w:numId="5">
    <w:abstractNumId w:val="2"/>
  </w:num>
  <w:num w:numId="6">
    <w:abstractNumId w:val="0"/>
  </w:num>
  <w:num w:numId="7">
    <w:abstractNumId w:val="6"/>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D32"/>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0C7C"/>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1C8"/>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D6096"/>
    <w:rsid w:val="000E17F5"/>
    <w:rsid w:val="000E419D"/>
    <w:rsid w:val="000E558E"/>
    <w:rsid w:val="000E7158"/>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1F90"/>
    <w:rsid w:val="00152274"/>
    <w:rsid w:val="00152315"/>
    <w:rsid w:val="0015254C"/>
    <w:rsid w:val="001539C6"/>
    <w:rsid w:val="00153AE1"/>
    <w:rsid w:val="00154A26"/>
    <w:rsid w:val="00156F72"/>
    <w:rsid w:val="0016368A"/>
    <w:rsid w:val="00163AD6"/>
    <w:rsid w:val="00164CF9"/>
    <w:rsid w:val="0016569F"/>
    <w:rsid w:val="00171235"/>
    <w:rsid w:val="00172FC5"/>
    <w:rsid w:val="00175A92"/>
    <w:rsid w:val="0017787C"/>
    <w:rsid w:val="00180302"/>
    <w:rsid w:val="0018188C"/>
    <w:rsid w:val="00181A67"/>
    <w:rsid w:val="001834AD"/>
    <w:rsid w:val="00183B93"/>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BE4"/>
    <w:rsid w:val="001C6CEB"/>
    <w:rsid w:val="001C6F55"/>
    <w:rsid w:val="001D1718"/>
    <w:rsid w:val="001D1C57"/>
    <w:rsid w:val="001D2345"/>
    <w:rsid w:val="001D24BC"/>
    <w:rsid w:val="001D25F9"/>
    <w:rsid w:val="001D33A9"/>
    <w:rsid w:val="001D3C86"/>
    <w:rsid w:val="001D5B46"/>
    <w:rsid w:val="001D72BF"/>
    <w:rsid w:val="001D7312"/>
    <w:rsid w:val="001E1C0F"/>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8B2"/>
    <w:rsid w:val="00270E8A"/>
    <w:rsid w:val="00272E11"/>
    <w:rsid w:val="00273390"/>
    <w:rsid w:val="00273746"/>
    <w:rsid w:val="0027555F"/>
    <w:rsid w:val="002758FE"/>
    <w:rsid w:val="00276AC0"/>
    <w:rsid w:val="002778AB"/>
    <w:rsid w:val="002803B1"/>
    <w:rsid w:val="002845C5"/>
    <w:rsid w:val="00286C29"/>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092"/>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23E"/>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5EA7"/>
    <w:rsid w:val="002F62B7"/>
    <w:rsid w:val="002F72D8"/>
    <w:rsid w:val="00301541"/>
    <w:rsid w:val="003019C6"/>
    <w:rsid w:val="00301BA2"/>
    <w:rsid w:val="00302D57"/>
    <w:rsid w:val="0030351A"/>
    <w:rsid w:val="00304477"/>
    <w:rsid w:val="00304DF5"/>
    <w:rsid w:val="00305DFE"/>
    <w:rsid w:val="00307141"/>
    <w:rsid w:val="00307763"/>
    <w:rsid w:val="0031134A"/>
    <w:rsid w:val="003115B7"/>
    <w:rsid w:val="003117A1"/>
    <w:rsid w:val="00312974"/>
    <w:rsid w:val="00313A48"/>
    <w:rsid w:val="00313A61"/>
    <w:rsid w:val="00313C29"/>
    <w:rsid w:val="00314040"/>
    <w:rsid w:val="003149DD"/>
    <w:rsid w:val="00314ACD"/>
    <w:rsid w:val="0031731E"/>
    <w:rsid w:val="003210EC"/>
    <w:rsid w:val="00322459"/>
    <w:rsid w:val="0032559A"/>
    <w:rsid w:val="00325E3A"/>
    <w:rsid w:val="003279EB"/>
    <w:rsid w:val="00330356"/>
    <w:rsid w:val="00331196"/>
    <w:rsid w:val="00331304"/>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4583"/>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04B"/>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2F42"/>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2F4"/>
    <w:rsid w:val="00500883"/>
    <w:rsid w:val="00500929"/>
    <w:rsid w:val="00503278"/>
    <w:rsid w:val="00504CA7"/>
    <w:rsid w:val="005058DE"/>
    <w:rsid w:val="00506276"/>
    <w:rsid w:val="00506880"/>
    <w:rsid w:val="00511DDC"/>
    <w:rsid w:val="005128E6"/>
    <w:rsid w:val="00512F80"/>
    <w:rsid w:val="005132E3"/>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907"/>
    <w:rsid w:val="00553F1E"/>
    <w:rsid w:val="00554481"/>
    <w:rsid w:val="0055481C"/>
    <w:rsid w:val="00554AC3"/>
    <w:rsid w:val="00554FF5"/>
    <w:rsid w:val="00555AB8"/>
    <w:rsid w:val="00555BB7"/>
    <w:rsid w:val="005563DB"/>
    <w:rsid w:val="00556E5F"/>
    <w:rsid w:val="00557EA5"/>
    <w:rsid w:val="005629F2"/>
    <w:rsid w:val="00562DCF"/>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A99"/>
    <w:rsid w:val="005E5F42"/>
    <w:rsid w:val="005E71C4"/>
    <w:rsid w:val="005F00EE"/>
    <w:rsid w:val="005F08DB"/>
    <w:rsid w:val="005F308D"/>
    <w:rsid w:val="005F35C2"/>
    <w:rsid w:val="005F428F"/>
    <w:rsid w:val="005F48E7"/>
    <w:rsid w:val="005F5319"/>
    <w:rsid w:val="005F6F33"/>
    <w:rsid w:val="005F76C2"/>
    <w:rsid w:val="005F79F3"/>
    <w:rsid w:val="00600E33"/>
    <w:rsid w:val="00602F0C"/>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39F"/>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2EDA"/>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1C75"/>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4BD"/>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5262"/>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CB8"/>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0F16"/>
    <w:rsid w:val="007C1094"/>
    <w:rsid w:val="007C11EC"/>
    <w:rsid w:val="007C40E9"/>
    <w:rsid w:val="007C4AF4"/>
    <w:rsid w:val="007C5A03"/>
    <w:rsid w:val="007C5A3B"/>
    <w:rsid w:val="007D01A9"/>
    <w:rsid w:val="007D0F8B"/>
    <w:rsid w:val="007D2012"/>
    <w:rsid w:val="007D23EB"/>
    <w:rsid w:val="007D2B20"/>
    <w:rsid w:val="007D5206"/>
    <w:rsid w:val="007D5C2A"/>
    <w:rsid w:val="007D600D"/>
    <w:rsid w:val="007E06C4"/>
    <w:rsid w:val="007E0832"/>
    <w:rsid w:val="007E1DEA"/>
    <w:rsid w:val="007E242F"/>
    <w:rsid w:val="007E2494"/>
    <w:rsid w:val="007E4635"/>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47BE4"/>
    <w:rsid w:val="00850AC0"/>
    <w:rsid w:val="00851CAE"/>
    <w:rsid w:val="00855703"/>
    <w:rsid w:val="00855DA2"/>
    <w:rsid w:val="00856631"/>
    <w:rsid w:val="00856968"/>
    <w:rsid w:val="00860AA1"/>
    <w:rsid w:val="008642B8"/>
    <w:rsid w:val="00864726"/>
    <w:rsid w:val="00864B1E"/>
    <w:rsid w:val="00865C64"/>
    <w:rsid w:val="00866011"/>
    <w:rsid w:val="00867B6F"/>
    <w:rsid w:val="0087034A"/>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56D4"/>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A8F"/>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4E"/>
    <w:rsid w:val="00926478"/>
    <w:rsid w:val="009272FA"/>
    <w:rsid w:val="009276ED"/>
    <w:rsid w:val="00927D31"/>
    <w:rsid w:val="00927D6F"/>
    <w:rsid w:val="00930495"/>
    <w:rsid w:val="00930C79"/>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56944"/>
    <w:rsid w:val="00961A01"/>
    <w:rsid w:val="00962766"/>
    <w:rsid w:val="00963BFE"/>
    <w:rsid w:val="00963D4A"/>
    <w:rsid w:val="009643EF"/>
    <w:rsid w:val="00964411"/>
    <w:rsid w:val="0096560D"/>
    <w:rsid w:val="0096569F"/>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31"/>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0DBC"/>
    <w:rsid w:val="00A5255D"/>
    <w:rsid w:val="00A5508D"/>
    <w:rsid w:val="00A56034"/>
    <w:rsid w:val="00A578E2"/>
    <w:rsid w:val="00A600D8"/>
    <w:rsid w:val="00A608CC"/>
    <w:rsid w:val="00A60C0E"/>
    <w:rsid w:val="00A621CE"/>
    <w:rsid w:val="00A6278D"/>
    <w:rsid w:val="00A63092"/>
    <w:rsid w:val="00A64565"/>
    <w:rsid w:val="00A65490"/>
    <w:rsid w:val="00A6552F"/>
    <w:rsid w:val="00A65D63"/>
    <w:rsid w:val="00A66699"/>
    <w:rsid w:val="00A678DB"/>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066F"/>
    <w:rsid w:val="00B12D32"/>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3D3"/>
    <w:rsid w:val="00B3269D"/>
    <w:rsid w:val="00B34B55"/>
    <w:rsid w:val="00B35470"/>
    <w:rsid w:val="00B35688"/>
    <w:rsid w:val="00B36871"/>
    <w:rsid w:val="00B37060"/>
    <w:rsid w:val="00B3756B"/>
    <w:rsid w:val="00B403A6"/>
    <w:rsid w:val="00B41FDA"/>
    <w:rsid w:val="00B42FA0"/>
    <w:rsid w:val="00B44C5F"/>
    <w:rsid w:val="00B467DE"/>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1BA"/>
    <w:rsid w:val="00BE637D"/>
    <w:rsid w:val="00BE67B4"/>
    <w:rsid w:val="00BE6B49"/>
    <w:rsid w:val="00BE7965"/>
    <w:rsid w:val="00BE7EA9"/>
    <w:rsid w:val="00BE7FF8"/>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68CE"/>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27065"/>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AC5"/>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57EA0"/>
    <w:rsid w:val="00E600AE"/>
    <w:rsid w:val="00E6026E"/>
    <w:rsid w:val="00E60387"/>
    <w:rsid w:val="00E607D7"/>
    <w:rsid w:val="00E61893"/>
    <w:rsid w:val="00E62CD5"/>
    <w:rsid w:val="00E63322"/>
    <w:rsid w:val="00E63A8C"/>
    <w:rsid w:val="00E65206"/>
    <w:rsid w:val="00E65212"/>
    <w:rsid w:val="00E654CD"/>
    <w:rsid w:val="00E65B2C"/>
    <w:rsid w:val="00E6617A"/>
    <w:rsid w:val="00E66D8B"/>
    <w:rsid w:val="00E67E6F"/>
    <w:rsid w:val="00E73F62"/>
    <w:rsid w:val="00E74072"/>
    <w:rsid w:val="00E74DBE"/>
    <w:rsid w:val="00E7615D"/>
    <w:rsid w:val="00E7778E"/>
    <w:rsid w:val="00E779BA"/>
    <w:rsid w:val="00E80448"/>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4D6957"/>
  <w15:chartTrackingRefBased/>
  <w15:docId w15:val="{3EE9C54B-F319-4F17-8787-E7CB75D22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C523E"/>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C523E"/>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C523E"/>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C523E"/>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C523E"/>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2C523E"/>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2C523E"/>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C523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2C523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523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2C523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C523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2C523E"/>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2C523E"/>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2C523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2C523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2C523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C523E"/>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Normal"/>
    <w:rsid w:val="002C523E"/>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styleId="ListParagraph">
    <w:name w:val="List Paragraph"/>
    <w:basedOn w:val="Normal"/>
    <w:uiPriority w:val="34"/>
    <w:qFormat/>
    <w:rsid w:val="008956D4"/>
    <w:pPr>
      <w:ind w:left="720"/>
      <w:contextualSpacing/>
    </w:pPr>
  </w:style>
  <w:style w:type="character" w:styleId="CommentReference">
    <w:name w:val="annotation reference"/>
    <w:basedOn w:val="DefaultParagraphFont"/>
    <w:uiPriority w:val="99"/>
    <w:semiHidden/>
    <w:unhideWhenUsed/>
    <w:rsid w:val="00930C79"/>
    <w:rPr>
      <w:sz w:val="16"/>
      <w:szCs w:val="16"/>
    </w:rPr>
  </w:style>
  <w:style w:type="paragraph" w:styleId="CommentText">
    <w:name w:val="annotation text"/>
    <w:basedOn w:val="Normal"/>
    <w:link w:val="CommentTextChar"/>
    <w:uiPriority w:val="99"/>
    <w:semiHidden/>
    <w:unhideWhenUsed/>
    <w:rsid w:val="00930C79"/>
    <w:pPr>
      <w:spacing w:line="240" w:lineRule="auto"/>
    </w:pPr>
    <w:rPr>
      <w:sz w:val="20"/>
      <w:szCs w:val="20"/>
    </w:rPr>
  </w:style>
  <w:style w:type="character" w:customStyle="1" w:styleId="CommentTextChar">
    <w:name w:val="Comment Text Char"/>
    <w:basedOn w:val="DefaultParagraphFont"/>
    <w:link w:val="CommentText"/>
    <w:uiPriority w:val="99"/>
    <w:semiHidden/>
    <w:rsid w:val="00930C79"/>
    <w:rPr>
      <w:sz w:val="20"/>
      <w:szCs w:val="20"/>
    </w:rPr>
  </w:style>
  <w:style w:type="paragraph" w:styleId="CommentSubject">
    <w:name w:val="annotation subject"/>
    <w:basedOn w:val="CommentText"/>
    <w:next w:val="CommentText"/>
    <w:link w:val="CommentSubjectChar"/>
    <w:uiPriority w:val="99"/>
    <w:semiHidden/>
    <w:unhideWhenUsed/>
    <w:rsid w:val="00930C79"/>
    <w:rPr>
      <w:b/>
      <w:bCs/>
    </w:rPr>
  </w:style>
  <w:style w:type="character" w:customStyle="1" w:styleId="CommentSubjectChar">
    <w:name w:val="Comment Subject Char"/>
    <w:basedOn w:val="CommentTextChar"/>
    <w:link w:val="CommentSubject"/>
    <w:uiPriority w:val="99"/>
    <w:semiHidden/>
    <w:rsid w:val="00930C79"/>
    <w:rPr>
      <w:b/>
      <w:bCs/>
      <w:sz w:val="20"/>
      <w:szCs w:val="20"/>
    </w:rPr>
  </w:style>
  <w:style w:type="paragraph" w:styleId="BalloonText">
    <w:name w:val="Balloon Text"/>
    <w:basedOn w:val="Normal"/>
    <w:link w:val="BalloonTextChar"/>
    <w:uiPriority w:val="99"/>
    <w:semiHidden/>
    <w:unhideWhenUsed/>
    <w:rsid w:val="00930C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0C79"/>
    <w:rPr>
      <w:rFonts w:ascii="Segoe UI" w:hAnsi="Segoe UI" w:cs="Segoe UI"/>
      <w:sz w:val="18"/>
      <w:szCs w:val="18"/>
    </w:rPr>
  </w:style>
  <w:style w:type="paragraph" w:customStyle="1" w:styleId="Doc-text2">
    <w:name w:val="Doc-text2"/>
    <w:basedOn w:val="Normal"/>
    <w:link w:val="Doc-text2Char"/>
    <w:qFormat/>
    <w:rsid w:val="002F5EA7"/>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2F5EA7"/>
    <w:rPr>
      <w:rFonts w:ascii="Arial" w:eastAsia="MS Mincho" w:hAnsi="Arial" w:cs="Times New Roman"/>
      <w:sz w:val="20"/>
      <w:szCs w:val="24"/>
      <w:lang w:eastAsia="en-GB"/>
    </w:rPr>
  </w:style>
  <w:style w:type="paragraph" w:customStyle="1" w:styleId="TH">
    <w:name w:val="TH"/>
    <w:basedOn w:val="Normal"/>
    <w:link w:val="THChar"/>
    <w:rsid w:val="00E74DB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paragraph" w:customStyle="1" w:styleId="TF">
    <w:name w:val="TF"/>
    <w:basedOn w:val="TH"/>
    <w:link w:val="TFChar"/>
    <w:rsid w:val="00E74DBE"/>
    <w:pPr>
      <w:keepNext w:val="0"/>
      <w:spacing w:before="0" w:after="240"/>
    </w:pPr>
  </w:style>
  <w:style w:type="character" w:customStyle="1" w:styleId="TFChar">
    <w:name w:val="TF Char"/>
    <w:link w:val="TF"/>
    <w:rsid w:val="00E74DBE"/>
    <w:rPr>
      <w:rFonts w:ascii="Arial" w:eastAsia="Times New Roman" w:hAnsi="Arial" w:cs="Times New Roman"/>
      <w:b/>
      <w:sz w:val="20"/>
      <w:szCs w:val="20"/>
      <w:lang w:val="x-none" w:eastAsia="x-none"/>
    </w:rPr>
  </w:style>
  <w:style w:type="character" w:customStyle="1" w:styleId="THChar">
    <w:name w:val="TH Char"/>
    <w:link w:val="TH"/>
    <w:qFormat/>
    <w:rsid w:val="00E74DBE"/>
    <w:rPr>
      <w:rFonts w:ascii="Arial" w:eastAsia="Times New Roman" w:hAnsi="Arial" w:cs="Times New Roman"/>
      <w:b/>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33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ECE432-1164-4388-B770-4751D9FA7E7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12B21B5-E718-4552-A58A-172CC7A54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0326FE0-AECE-4DA6-A9A5-B54BB8931B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1241</Words>
  <Characters>7426</Characters>
  <Application>Microsoft Office Word</Application>
  <DocSecurity>0</DocSecurity>
  <Lines>206</Lines>
  <Paragraphs>154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Intel-SP</cp:lastModifiedBy>
  <cp:revision>2</cp:revision>
  <dcterms:created xsi:type="dcterms:W3CDTF">2018-06-21T21:22:00Z</dcterms:created>
  <dcterms:modified xsi:type="dcterms:W3CDTF">2018-06-21T21:22:00Z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3159dc75-acc8-41b3-a46e-47597da73a43</vt:lpwstr>
  </property>
  <property fmtid="{D5CDD505-2E9C-101B-9397-08002B2CF9AE}" pid="3" name="CTP_TimeStamp">
    <vt:lpwstr>2018-06-21 03:32:59Z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