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494FF3C7"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953155"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32A0">
        <w:rPr>
          <w:color w:val="auto"/>
          <w:sz w:val="24"/>
          <w:lang w:eastAsia="en-GB"/>
        </w:rPr>
        <w:t>3GPP TSG-RAN WG2 NR AdH</w:t>
      </w:r>
      <w:r w:rsidR="009672F2">
        <w:rPr>
          <w:color w:val="auto"/>
          <w:sz w:val="24"/>
          <w:lang w:eastAsia="en-GB"/>
        </w:rPr>
        <w:t>oc</w:t>
      </w:r>
      <w:r w:rsidR="004432A0">
        <w:rPr>
          <w:color w:val="auto"/>
          <w:sz w:val="24"/>
          <w:lang w:eastAsia="en-GB"/>
        </w:rPr>
        <w:t xml:space="preserve"> #1807</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80</w:t>
      </w:r>
      <w:r w:rsidR="009122E4">
        <w:rPr>
          <w:i/>
          <w:color w:val="auto"/>
          <w:sz w:val="24"/>
          <w:lang w:eastAsia="zh-CN"/>
        </w:rPr>
        <w:t>9790</w:t>
      </w:r>
    </w:p>
    <w:p w14:paraId="2AE6D983" w14:textId="1076E670" w:rsidR="007E1DEE" w:rsidRPr="00C036E6" w:rsidRDefault="009672F2" w:rsidP="007E1DEE">
      <w:pPr>
        <w:pStyle w:val="Header"/>
        <w:tabs>
          <w:tab w:val="left" w:pos="6521"/>
        </w:tabs>
        <w:jc w:val="both"/>
        <w:rPr>
          <w:color w:val="auto"/>
          <w:sz w:val="24"/>
          <w:lang w:eastAsia="zh-CN"/>
        </w:rPr>
      </w:pPr>
      <w:r>
        <w:rPr>
          <w:color w:val="auto"/>
          <w:sz w:val="24"/>
          <w:lang w:eastAsia="zh-CN"/>
        </w:rPr>
        <w:t>Montreal</w:t>
      </w:r>
      <w:r w:rsidR="007A3C8B" w:rsidRPr="00943E97">
        <w:rPr>
          <w:color w:val="auto"/>
          <w:sz w:val="24"/>
        </w:rPr>
        <w:t xml:space="preserve">, </w:t>
      </w:r>
      <w:r>
        <w:rPr>
          <w:color w:val="auto"/>
          <w:sz w:val="24"/>
        </w:rPr>
        <w:t>Canada</w:t>
      </w:r>
      <w:r w:rsidR="007A3C8B" w:rsidRPr="00943E97">
        <w:rPr>
          <w:color w:val="auto"/>
          <w:sz w:val="24"/>
        </w:rPr>
        <w:t>,</w:t>
      </w:r>
      <w:r>
        <w:rPr>
          <w:color w:val="auto"/>
          <w:sz w:val="24"/>
        </w:rPr>
        <w:t xml:space="preserve"> 2 – 6 July</w:t>
      </w:r>
      <w:r w:rsidR="007A3C8B">
        <w:rPr>
          <w:rFonts w:hint="eastAsia"/>
          <w:color w:val="auto"/>
          <w:sz w:val="24"/>
        </w:rPr>
        <w:t>, 201</w:t>
      </w:r>
      <w:r w:rsidR="007A3C8B">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0D68BEA9"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BD798F">
        <w:rPr>
          <w:rFonts w:ascii="Arial" w:hAnsi="Arial"/>
          <w:b/>
          <w:sz w:val="24"/>
          <w:lang w:val="en-US" w:eastAsia="zh-CN"/>
        </w:rPr>
        <w:t>11.2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54BC8CF6"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0C66C7">
        <w:rPr>
          <w:rFonts w:ascii="Arial" w:hAnsi="Arial"/>
          <w:b/>
          <w:sz w:val="24"/>
          <w:lang w:val="en-US"/>
        </w:rPr>
        <w:t>RRM m</w:t>
      </w:r>
      <w:r w:rsidR="00BD798F">
        <w:rPr>
          <w:rFonts w:ascii="Arial" w:hAnsi="Arial"/>
          <w:b/>
          <w:sz w:val="24"/>
          <w:lang w:val="en-US"/>
        </w:rPr>
        <w:t>easurement</w:t>
      </w:r>
      <w:r w:rsidR="000C66C7">
        <w:rPr>
          <w:rFonts w:ascii="Arial" w:hAnsi="Arial"/>
          <w:b/>
          <w:sz w:val="24"/>
          <w:lang w:val="en-US"/>
        </w:rPr>
        <w:t xml:space="preserve"> and reporting</w:t>
      </w:r>
      <w:r w:rsidR="00BD798F">
        <w:rPr>
          <w:rFonts w:ascii="Arial" w:hAnsi="Arial"/>
          <w:b/>
          <w:sz w:val="24"/>
          <w:lang w:val="en-US"/>
        </w:rPr>
        <w:t xml:space="preserve"> in NR unlicensed</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89F0B23" w14:textId="40410867" w:rsidR="00BD798F" w:rsidRPr="00BD798F" w:rsidRDefault="00BD798F" w:rsidP="00BD798F">
      <w:r>
        <w:t>In this contribution, we discuss the additional measurement needed for NR unlicensed</w:t>
      </w:r>
    </w:p>
    <w:p w14:paraId="2AE6D98D" w14:textId="77777777" w:rsidR="003E1A61" w:rsidRDefault="003E1A61" w:rsidP="00F13226">
      <w:pPr>
        <w:pStyle w:val="Heading1"/>
      </w:pPr>
      <w:r>
        <w:t>Discussion</w:t>
      </w:r>
    </w:p>
    <w:p w14:paraId="19EC207A" w14:textId="245EBC9C" w:rsidR="00BD798F" w:rsidRDefault="00BD798F" w:rsidP="002F0CA0">
      <w:r>
        <w:t>In LTE LAA, it is agreed for the purpose of detecting hidden node in channel selection, UE reporting of RSSI measurements and channel occupancy to the eNB is considered useful</w:t>
      </w:r>
      <w:r w:rsidR="00BD5A72">
        <w:t xml:space="preserve"> in the RRC Connected case</w:t>
      </w:r>
      <w:r>
        <w:t>. The eNB indicates w</w:t>
      </w:r>
      <w:r w:rsidR="00C03E9A">
        <w:t>hich carrier</w:t>
      </w:r>
      <w:r>
        <w:t>(s) the UE should report RSSI and channel occupancy for and UE report the RSSI and channel occupancy for those carriers.</w:t>
      </w:r>
    </w:p>
    <w:p w14:paraId="52D7D990" w14:textId="6BEF5D2B" w:rsidR="00F42CCA" w:rsidRDefault="00F42CCA" w:rsidP="002F0CA0">
      <w:r>
        <w:t xml:space="preserve">With NR unlicensed, the deployment scenarios to study are extended to dual connectivity (EN-DC, NR-NR DC) and also standalone </w:t>
      </w:r>
      <w:r w:rsidR="005217CA">
        <w:t xml:space="preserve">deployment </w:t>
      </w:r>
      <w:r>
        <w:t>scenarios. If RSSI measurement and channel occupancy measurement is useful for channel selec</w:t>
      </w:r>
      <w:r w:rsidR="005217CA">
        <w:t>tion in LAA scenario, it would seem also</w:t>
      </w:r>
      <w:r>
        <w:t xml:space="preserve"> useful </w:t>
      </w:r>
      <w:r w:rsidR="005217CA">
        <w:t>as well in detecting hidden node for channel selection</w:t>
      </w:r>
      <w:r w:rsidR="005217CA" w:rsidRPr="005217CA">
        <w:t xml:space="preserve"> </w:t>
      </w:r>
      <w:r w:rsidR="005217CA">
        <w:t>for dual connectivity and standalone deployment scenarios</w:t>
      </w:r>
      <w:r>
        <w:t>.</w:t>
      </w:r>
    </w:p>
    <w:p w14:paraId="49CC182C" w14:textId="23CB6511" w:rsidR="00F42CCA" w:rsidRDefault="00F42CCA" w:rsidP="002F0CA0">
      <w:r w:rsidRPr="00E00FBE">
        <w:rPr>
          <w:b/>
        </w:rPr>
        <w:t>Proposal#1</w:t>
      </w:r>
      <w:r>
        <w:t xml:space="preserve">: </w:t>
      </w:r>
      <w:r w:rsidR="00E00FBE">
        <w:t>It is beneficial to study RSSI measurement and channel occupancy measurement for channel selection in all the NR unlicensed scenarios</w:t>
      </w:r>
      <w:r w:rsidR="00BD5A72">
        <w:t xml:space="preserve"> in RRC Connected case.</w:t>
      </w:r>
      <w:r w:rsidR="00E00FBE">
        <w:t xml:space="preserve"> </w:t>
      </w:r>
    </w:p>
    <w:p w14:paraId="098B33E2" w14:textId="799E6FD4" w:rsidR="00E00FBE" w:rsidRDefault="00E00FBE" w:rsidP="00E00FBE">
      <w:pPr>
        <w:pStyle w:val="N1"/>
        <w:ind w:left="0"/>
      </w:pPr>
      <w:r>
        <w:t>In the EN-DC case where MN is LTE, B1 event (i.e. Inter-RAT neighbour cell is better than a configured threshold) or B2 event (i.e. Inter-RAT neighbour cell is better than a configured threshold and PCell is below a configured threshold) is used as the event to trigger a report of the inter-RAT neighbour cell</w:t>
      </w:r>
      <w:r w:rsidR="005217CA">
        <w:t xml:space="preserve"> for SCG addition or change</w:t>
      </w:r>
      <w:r>
        <w:t xml:space="preserve">. Currently, the trigger </w:t>
      </w:r>
      <w:bookmarkStart w:id="2" w:name="_GoBack"/>
      <w:bookmarkEnd w:id="2"/>
      <w:r>
        <w:t xml:space="preserve">is cell-based measurement on RSRP, RSRQ and SNIR. This may not be sufficient for selecting a NR unlicensed cell for SCG addition. </w:t>
      </w:r>
      <w:r w:rsidR="005217CA">
        <w:t>If proposal#1 is agreed, t</w:t>
      </w:r>
      <w:r>
        <w:t>he channel load (e.g. RSSI measurement of the NR cell as well as channe</w:t>
      </w:r>
      <w:r w:rsidR="005217CA">
        <w:t>l occupancy measurement etc.) may</w:t>
      </w:r>
      <w:r>
        <w:t xml:space="preserve"> also needed on top of the RSRP/RSRQ/SNIR measurement</w:t>
      </w:r>
      <w:r w:rsidR="005217CA">
        <w:t xml:space="preserve"> for selection of the SCG PSCell</w:t>
      </w:r>
      <w:r>
        <w:t>.  There are a few ways to implement this:</w:t>
      </w:r>
    </w:p>
    <w:p w14:paraId="3C522551" w14:textId="77777777" w:rsidR="00E00FBE" w:rsidRDefault="00E00FBE" w:rsidP="00E00FBE">
      <w:pPr>
        <w:pStyle w:val="N1"/>
        <w:ind w:left="0"/>
      </w:pPr>
    </w:p>
    <w:p w14:paraId="366E6174" w14:textId="77777777" w:rsidR="00E00FBE" w:rsidRDefault="00E00FBE" w:rsidP="00E00FBE">
      <w:pPr>
        <w:pStyle w:val="N1"/>
        <w:numPr>
          <w:ilvl w:val="0"/>
          <w:numId w:val="43"/>
        </w:numPr>
        <w:ind w:left="360"/>
      </w:pPr>
      <w:r>
        <w:t>Introduce a new reporting event that takes into account the channel load when reporting inter-RAT neighbour in the unlicensed carrier. For example</w:t>
      </w:r>
    </w:p>
    <w:p w14:paraId="439D6E7D" w14:textId="77777777" w:rsidR="00E00FBE" w:rsidRDefault="00E00FBE" w:rsidP="00E00FBE">
      <w:pPr>
        <w:pStyle w:val="N1"/>
        <w:ind w:left="360"/>
      </w:pPr>
    </w:p>
    <w:p w14:paraId="09A498F7" w14:textId="77777777" w:rsidR="00E00FBE" w:rsidRDefault="00E00FBE" w:rsidP="005217CA">
      <w:pPr>
        <w:pStyle w:val="N1"/>
        <w:ind w:left="720"/>
      </w:pPr>
      <w:r>
        <w:t>Event Bx = Inter-RAT neighbour (RSRP/RSRQ/SNIR) is better than a configured threshold and channel load (RSSI measurement and/or channel occupancy) of the inter-RAT neighbour is below a configured threshold</w:t>
      </w:r>
    </w:p>
    <w:p w14:paraId="0A8CF042" w14:textId="77777777" w:rsidR="00E00FBE" w:rsidRDefault="00E00FBE" w:rsidP="005217CA">
      <w:pPr>
        <w:pStyle w:val="N1"/>
        <w:ind w:left="720"/>
      </w:pPr>
    </w:p>
    <w:p w14:paraId="5BE9D41D" w14:textId="77777777" w:rsidR="00E00FBE" w:rsidRDefault="00E00FBE" w:rsidP="005217CA">
      <w:pPr>
        <w:pStyle w:val="N1"/>
        <w:ind w:left="720"/>
      </w:pPr>
      <w:r>
        <w:t>Event By = Inter-RAT neighbour (RSRP/RSRQ/SNIR) is better than a configured threshold and channel load (RSSI measurement and/or channel occupancy) of the inter-RAT neighbour is better than best NR serving cell/PSCell</w:t>
      </w:r>
    </w:p>
    <w:p w14:paraId="347B48F5" w14:textId="77777777" w:rsidR="00E00FBE" w:rsidRDefault="00E00FBE" w:rsidP="005217CA">
      <w:pPr>
        <w:pStyle w:val="N1"/>
        <w:ind w:left="720"/>
      </w:pPr>
    </w:p>
    <w:p w14:paraId="78AAB279" w14:textId="77777777" w:rsidR="00E00FBE" w:rsidRDefault="00E00FBE" w:rsidP="005217CA">
      <w:pPr>
        <w:pStyle w:val="N1"/>
        <w:ind w:left="720"/>
      </w:pPr>
      <w:r>
        <w:lastRenderedPageBreak/>
        <w:t>Event Bz = Inter-RAT neighbour (RSRP/RSRQ/SNIR) is better than best NR serving cell/NR PSCell and channel load (RSSI measurement and/or channel occupancy) of the inter-RAT neighbour is better than best NR serving cell/PSCell</w:t>
      </w:r>
    </w:p>
    <w:p w14:paraId="3BD4EC1A" w14:textId="6A21F94C" w:rsidR="005217CA" w:rsidRDefault="005217CA" w:rsidP="005217CA">
      <w:pPr>
        <w:pStyle w:val="N1"/>
        <w:ind w:left="720"/>
      </w:pPr>
      <w:r>
        <w:t xml:space="preserve"> Etc.</w:t>
      </w:r>
    </w:p>
    <w:p w14:paraId="478DB322" w14:textId="77777777" w:rsidR="00E00FBE" w:rsidRDefault="00E00FBE" w:rsidP="00E00FBE">
      <w:pPr>
        <w:pStyle w:val="N1"/>
        <w:ind w:left="360"/>
      </w:pPr>
      <w:r>
        <w:t xml:space="preserve"> </w:t>
      </w:r>
    </w:p>
    <w:p w14:paraId="221DFDD7" w14:textId="203D0201" w:rsidR="00E00FBE" w:rsidRDefault="00E00FBE" w:rsidP="00E00FBE">
      <w:pPr>
        <w:pStyle w:val="N1"/>
        <w:numPr>
          <w:ilvl w:val="0"/>
          <w:numId w:val="43"/>
        </w:numPr>
        <w:ind w:left="360"/>
      </w:pPr>
      <w:r>
        <w:t xml:space="preserve">No new event </w:t>
      </w:r>
      <w:r w:rsidR="005217CA">
        <w:t xml:space="preserve">are introduced </w:t>
      </w:r>
      <w:r>
        <w:t xml:space="preserve">but the channel load of the inter-RAT neighbour in the unlicensed carrier is included as part of the measurement report for the existing B1 and/or B2 events, including the channel load of the best NR serving cell/PSCell in the reporting. For example, the report configuration for B1 and B2 event can be optionally configured with channel load configuration for the inter-RAT neighbour cell and/or the best NR serving cell/PSCell. When reporting B1 and B2 event, the UE will also report channel load of neighbour cell and/or best NR serving cell/PSCell </w:t>
      </w:r>
    </w:p>
    <w:p w14:paraId="3D744175" w14:textId="77777777" w:rsidR="00E00FBE" w:rsidRDefault="00E00FBE" w:rsidP="00E00FBE">
      <w:pPr>
        <w:pStyle w:val="N1"/>
        <w:ind w:left="0"/>
        <w:rPr>
          <w:rFonts w:eastAsia="SimSun" w:cstheme="minorBidi"/>
          <w:lang w:val="en-GB" w:eastAsia="en-US" w:bidi="ar-SA"/>
        </w:rPr>
      </w:pPr>
    </w:p>
    <w:p w14:paraId="7BA67F72" w14:textId="24EF6594" w:rsidR="00E00FBE" w:rsidRDefault="00E00FBE" w:rsidP="00E00FBE">
      <w:pPr>
        <w:pStyle w:val="N1"/>
        <w:ind w:left="0"/>
      </w:pPr>
      <w:r>
        <w:t>The above can also be extended to other DC deployments (such as NR-NR DC case) or inter-frequency and intra-frequency handover scenarios</w:t>
      </w:r>
      <w:r w:rsidR="008F5351">
        <w:t xml:space="preserve"> based on Event Ax.</w:t>
      </w:r>
    </w:p>
    <w:p w14:paraId="0F18A92C" w14:textId="77777777" w:rsidR="008F5351" w:rsidRDefault="008F5351" w:rsidP="00E00FBE">
      <w:pPr>
        <w:pStyle w:val="N1"/>
        <w:ind w:left="0"/>
      </w:pPr>
    </w:p>
    <w:p w14:paraId="401EBE9F" w14:textId="712BDBC0" w:rsidR="008F5351" w:rsidRDefault="008F5351" w:rsidP="00E00FBE">
      <w:pPr>
        <w:pStyle w:val="N1"/>
        <w:ind w:left="0"/>
      </w:pPr>
      <w:r w:rsidRPr="008F5351">
        <w:rPr>
          <w:b/>
        </w:rPr>
        <w:t>Proposal#2:</w:t>
      </w:r>
      <w:r>
        <w:t xml:space="preserve"> If RSSI measurement and channel occupancy measurement is deemed beneficial for channel selection in NR</w:t>
      </w:r>
      <w:r w:rsidR="008E6B91">
        <w:t>-u deployment scenarios, RAN2 should study</w:t>
      </w:r>
      <w:r>
        <w:t xml:space="preserve"> whether new events are needed or the measurements are piggybacked on </w:t>
      </w:r>
      <w:r w:rsidR="00EC4CED">
        <w:t xml:space="preserve">the reporting upon </w:t>
      </w:r>
      <w:r>
        <w:t>existing events.</w:t>
      </w:r>
    </w:p>
    <w:p w14:paraId="1D464C30" w14:textId="77777777" w:rsidR="00BD798F" w:rsidRDefault="00BD798F" w:rsidP="002F0CA0"/>
    <w:p w14:paraId="7B87820A" w14:textId="04AB7128" w:rsidR="008F5351" w:rsidRDefault="008F5351" w:rsidP="002F0CA0">
      <w:r>
        <w:t xml:space="preserve">In NR-u standalone case, idle mode mobility </w:t>
      </w:r>
      <w:r w:rsidR="0067119E">
        <w:t xml:space="preserve">may also </w:t>
      </w:r>
      <w:r w:rsidR="00BA2044">
        <w:t xml:space="preserve">be viewed to benefit from </w:t>
      </w:r>
      <w:r>
        <w:t>the RSSI and channel occupancy</w:t>
      </w:r>
      <w:r w:rsidR="00BA2044">
        <w:t xml:space="preserve"> measurement in reselecting a neighbour cell</w:t>
      </w:r>
      <w:r>
        <w:t>. For intra-frequency cell reselection case, the best cell concept should still be adhered to.</w:t>
      </w:r>
      <w:r w:rsidR="0067119E">
        <w:t xml:space="preserve">  Hence the RSSI and channel occupancy measurement should not be considered for the intra-frequency case.  For inter-frequency cell reselection case, priority based cell reselection is being used. Both RSRQ and RSRP </w:t>
      </w:r>
      <w:r w:rsidR="00BD5A72">
        <w:t xml:space="preserve">are considered in the priority based cell reselection and the RSRQ can provide the load of a cell based on the RSSI component in the RSRQ definition. Hence we do not see a need to consider RSSI on its own.  Furthermore, once the UE is </w:t>
      </w:r>
      <w:r w:rsidR="00BA2044">
        <w:t xml:space="preserve">in </w:t>
      </w:r>
      <w:r w:rsidR="00BD5A72">
        <w:t>connected mode, if the system bandwidth of the cell is large, network can always perform BWP switching to less loaded part of the system bandwidth. The idle mode mobility for Standalone NR-u should use the NR design as baseline. Any further enhancement needs to be justified.</w:t>
      </w:r>
    </w:p>
    <w:p w14:paraId="092D9092" w14:textId="10D8747A" w:rsidR="008F5351" w:rsidRDefault="008F5351" w:rsidP="002F0CA0">
      <w:r w:rsidRPr="008F5351">
        <w:rPr>
          <w:b/>
        </w:rPr>
        <w:t>Proposal#3:</w:t>
      </w:r>
      <w:r>
        <w:t xml:space="preserve"> </w:t>
      </w:r>
      <w:r w:rsidR="00BD5A72">
        <w:t xml:space="preserve">The idle mode mobility for Standalone NR-u should use the </w:t>
      </w:r>
      <w:r w:rsidR="00EC4CED">
        <w:t>Rel-15 NR idle mode</w:t>
      </w:r>
      <w:r w:rsidR="00BD5A72">
        <w:t xml:space="preserve"> as baseline. Any further enhancement needs to be justified.</w:t>
      </w:r>
    </w:p>
    <w:p w14:paraId="2AE6D99F" w14:textId="77777777" w:rsidR="00FB082B" w:rsidRPr="003A28F3" w:rsidRDefault="00FB082B" w:rsidP="006D66EA">
      <w:pPr>
        <w:pStyle w:val="Heading1"/>
      </w:pPr>
      <w:r w:rsidRPr="003A28F3">
        <w:t xml:space="preserve">Conclusion and </w:t>
      </w:r>
      <w:r w:rsidRPr="006D66EA">
        <w:t>proposals</w:t>
      </w:r>
    </w:p>
    <w:p w14:paraId="2AE6D9A0" w14:textId="0FE9A5D2" w:rsidR="00FB082B" w:rsidRDefault="00E30DAC" w:rsidP="00FB082B">
      <w:r w:rsidRPr="003A28F3">
        <w:t>It is requested that RAN 2 discuss and agree on the following proposal:</w:t>
      </w:r>
    </w:p>
    <w:p w14:paraId="54FEE94D" w14:textId="77777777" w:rsidR="00BD5A72" w:rsidRDefault="00BD5A72" w:rsidP="00BD5A72">
      <w:r w:rsidRPr="00E00FBE">
        <w:rPr>
          <w:b/>
        </w:rPr>
        <w:t>Proposal#1</w:t>
      </w:r>
      <w:r>
        <w:t xml:space="preserve">: It is beneficial to study RSSI measurement and channel occupancy measurement for channel selection in all the NR unlicensed scenarios in RRC Connected case. </w:t>
      </w:r>
    </w:p>
    <w:p w14:paraId="529BC604" w14:textId="77777777" w:rsidR="009122E4" w:rsidRDefault="009122E4" w:rsidP="009122E4">
      <w:pPr>
        <w:pStyle w:val="N1"/>
        <w:ind w:left="0"/>
      </w:pPr>
      <w:r w:rsidRPr="008F5351">
        <w:rPr>
          <w:b/>
        </w:rPr>
        <w:t>Proposal#2:</w:t>
      </w:r>
      <w:r>
        <w:t xml:space="preserve"> If RSSI measurement and channel occupancy measurement is deemed beneficial for channel selection in NR-u deployment scenarios, RAN2 should study whether new events are needed or the measurements are piggybacked on the reporting upon existing events.</w:t>
      </w:r>
    </w:p>
    <w:p w14:paraId="7821164D" w14:textId="77777777" w:rsidR="00BD5A72" w:rsidRDefault="00BD5A72" w:rsidP="008F5351">
      <w:pPr>
        <w:pStyle w:val="N1"/>
        <w:ind w:left="0"/>
      </w:pPr>
    </w:p>
    <w:p w14:paraId="6F15D535" w14:textId="77777777" w:rsidR="009122E4" w:rsidRDefault="009122E4" w:rsidP="009122E4">
      <w:r w:rsidRPr="008F5351">
        <w:rPr>
          <w:b/>
        </w:rPr>
        <w:t>Proposal#3:</w:t>
      </w:r>
      <w:r>
        <w:t xml:space="preserve"> The idle mode mobility for Standalone NR-u should use the Rel-15 NR idle mode as baseline. Any further enhancement needs to be justified.</w:t>
      </w:r>
    </w:p>
    <w:p w14:paraId="4D6CD6C4" w14:textId="754156E9" w:rsidR="002F737D" w:rsidRDefault="002F737D" w:rsidP="008F5351"/>
    <w:sectPr w:rsidR="002F737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208C8" w14:textId="77777777" w:rsidR="004A10B1" w:rsidRDefault="004A10B1" w:rsidP="00DF7110">
      <w:pPr>
        <w:spacing w:after="0" w:line="240" w:lineRule="auto"/>
      </w:pPr>
      <w:r>
        <w:separator/>
      </w:r>
    </w:p>
  </w:endnote>
  <w:endnote w:type="continuationSeparator" w:id="0">
    <w:p w14:paraId="645E954E" w14:textId="77777777" w:rsidR="004A10B1" w:rsidRDefault="004A10B1"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288FD" w14:textId="77777777" w:rsidR="004A10B1" w:rsidRDefault="004A10B1" w:rsidP="00DF7110">
      <w:pPr>
        <w:spacing w:after="0" w:line="240" w:lineRule="auto"/>
      </w:pPr>
      <w:r>
        <w:separator/>
      </w:r>
    </w:p>
  </w:footnote>
  <w:footnote w:type="continuationSeparator" w:id="0">
    <w:p w14:paraId="0A4A3D9C" w14:textId="77777777" w:rsidR="004A10B1" w:rsidRDefault="004A10B1"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526B31"/>
    <w:multiLevelType w:val="hybridMultilevel"/>
    <w:tmpl w:val="096E0D30"/>
    <w:lvl w:ilvl="0" w:tplc="5BB222E4">
      <w:start w:val="1"/>
      <w:numFmt w:val="lowerLetter"/>
      <w:lvlText w:val="%1."/>
      <w:lvlJc w:val="left"/>
      <w:pPr>
        <w:ind w:left="994" w:hanging="360"/>
      </w:pPr>
      <w:rPr>
        <w:rFonts w:hint="default"/>
      </w:rPr>
    </w:lvl>
    <w:lvl w:ilvl="1" w:tplc="08090019" w:tentative="1">
      <w:start w:val="1"/>
      <w:numFmt w:val="lowerLetter"/>
      <w:lvlText w:val="%2."/>
      <w:lvlJc w:val="left"/>
      <w:pPr>
        <w:ind w:left="1714" w:hanging="360"/>
      </w:pPr>
    </w:lvl>
    <w:lvl w:ilvl="2" w:tplc="0809001B" w:tentative="1">
      <w:start w:val="1"/>
      <w:numFmt w:val="lowerRoman"/>
      <w:lvlText w:val="%3."/>
      <w:lvlJc w:val="right"/>
      <w:pPr>
        <w:ind w:left="2434" w:hanging="180"/>
      </w:pPr>
    </w:lvl>
    <w:lvl w:ilvl="3" w:tplc="0809000F" w:tentative="1">
      <w:start w:val="1"/>
      <w:numFmt w:val="decimal"/>
      <w:lvlText w:val="%4."/>
      <w:lvlJc w:val="left"/>
      <w:pPr>
        <w:ind w:left="3154" w:hanging="360"/>
      </w:pPr>
    </w:lvl>
    <w:lvl w:ilvl="4" w:tplc="08090019" w:tentative="1">
      <w:start w:val="1"/>
      <w:numFmt w:val="lowerLetter"/>
      <w:lvlText w:val="%5."/>
      <w:lvlJc w:val="left"/>
      <w:pPr>
        <w:ind w:left="3874" w:hanging="360"/>
      </w:pPr>
    </w:lvl>
    <w:lvl w:ilvl="5" w:tplc="0809001B" w:tentative="1">
      <w:start w:val="1"/>
      <w:numFmt w:val="lowerRoman"/>
      <w:lvlText w:val="%6."/>
      <w:lvlJc w:val="right"/>
      <w:pPr>
        <w:ind w:left="4594" w:hanging="180"/>
      </w:pPr>
    </w:lvl>
    <w:lvl w:ilvl="6" w:tplc="0809000F" w:tentative="1">
      <w:start w:val="1"/>
      <w:numFmt w:val="decimal"/>
      <w:lvlText w:val="%7."/>
      <w:lvlJc w:val="left"/>
      <w:pPr>
        <w:ind w:left="5314" w:hanging="360"/>
      </w:pPr>
    </w:lvl>
    <w:lvl w:ilvl="7" w:tplc="08090019" w:tentative="1">
      <w:start w:val="1"/>
      <w:numFmt w:val="lowerLetter"/>
      <w:lvlText w:val="%8."/>
      <w:lvlJc w:val="left"/>
      <w:pPr>
        <w:ind w:left="6034" w:hanging="360"/>
      </w:pPr>
    </w:lvl>
    <w:lvl w:ilvl="8" w:tplc="0809001B" w:tentative="1">
      <w:start w:val="1"/>
      <w:numFmt w:val="lowerRoman"/>
      <w:lvlText w:val="%9."/>
      <w:lvlJc w:val="right"/>
      <w:pPr>
        <w:ind w:left="6754"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1"/>
  </w:num>
  <w:num w:numId="3">
    <w:abstractNumId w:val="28"/>
  </w:num>
  <w:num w:numId="4">
    <w:abstractNumId w:val="40"/>
  </w:num>
  <w:num w:numId="5">
    <w:abstractNumId w:val="22"/>
  </w:num>
  <w:num w:numId="6">
    <w:abstractNumId w:val="40"/>
  </w:num>
  <w:num w:numId="7">
    <w:abstractNumId w:val="41"/>
  </w:num>
  <w:num w:numId="8">
    <w:abstractNumId w:val="25"/>
  </w:num>
  <w:num w:numId="9">
    <w:abstractNumId w:val="20"/>
  </w:num>
  <w:num w:numId="10">
    <w:abstractNumId w:val="10"/>
  </w:num>
  <w:num w:numId="11">
    <w:abstractNumId w:val="30"/>
  </w:num>
  <w:num w:numId="12">
    <w:abstractNumId w:val="3"/>
  </w:num>
  <w:num w:numId="13">
    <w:abstractNumId w:val="21"/>
  </w:num>
  <w:num w:numId="14">
    <w:abstractNumId w:val="13"/>
  </w:num>
  <w:num w:numId="15">
    <w:abstractNumId w:val="15"/>
  </w:num>
  <w:num w:numId="16">
    <w:abstractNumId w:val="35"/>
  </w:num>
  <w:num w:numId="17">
    <w:abstractNumId w:val="26"/>
  </w:num>
  <w:num w:numId="18">
    <w:abstractNumId w:val="17"/>
  </w:num>
  <w:num w:numId="19">
    <w:abstractNumId w:val="39"/>
  </w:num>
  <w:num w:numId="20">
    <w:abstractNumId w:val="32"/>
  </w:num>
  <w:num w:numId="21">
    <w:abstractNumId w:val="8"/>
  </w:num>
  <w:num w:numId="22">
    <w:abstractNumId w:val="18"/>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29"/>
  </w:num>
  <w:num w:numId="26">
    <w:abstractNumId w:val="16"/>
  </w:num>
  <w:num w:numId="27">
    <w:abstractNumId w:val="24"/>
  </w:num>
  <w:num w:numId="28">
    <w:abstractNumId w:val="33"/>
  </w:num>
  <w:num w:numId="29">
    <w:abstractNumId w:val="37"/>
  </w:num>
  <w:num w:numId="30">
    <w:abstractNumId w:val="23"/>
  </w:num>
  <w:num w:numId="31">
    <w:abstractNumId w:val="34"/>
  </w:num>
  <w:num w:numId="32">
    <w:abstractNumId w:val="2"/>
  </w:num>
  <w:num w:numId="33">
    <w:abstractNumId w:val="0"/>
  </w:num>
  <w:num w:numId="34">
    <w:abstractNumId w:val="12"/>
  </w:num>
  <w:num w:numId="35">
    <w:abstractNumId w:val="27"/>
  </w:num>
  <w:num w:numId="36">
    <w:abstractNumId w:val="4"/>
  </w:num>
  <w:num w:numId="37">
    <w:abstractNumId w:val="36"/>
  </w:num>
  <w:num w:numId="38">
    <w:abstractNumId w:val="19"/>
  </w:num>
  <w:num w:numId="39">
    <w:abstractNumId w:val="7"/>
  </w:num>
  <w:num w:numId="40">
    <w:abstractNumId w:val="5"/>
  </w:num>
  <w:num w:numId="41">
    <w:abstractNumId w:val="6"/>
  </w:num>
  <w:num w:numId="42">
    <w:abstractNumId w:val="38"/>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2585"/>
    <w:rsid w:val="000D2D3F"/>
    <w:rsid w:val="000D2D90"/>
    <w:rsid w:val="000D33D7"/>
    <w:rsid w:val="000D3700"/>
    <w:rsid w:val="000D53F8"/>
    <w:rsid w:val="000D54E1"/>
    <w:rsid w:val="000D59A5"/>
    <w:rsid w:val="000D5D4E"/>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25A75-1CF7-4128-9B3A-5E5CEBF314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982</Words>
  <Characters>4636</Characters>
  <Application>Microsoft Office Word</Application>
  <DocSecurity>0</DocSecurity>
  <Lines>77</Lines>
  <Paragraphs>47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2</cp:revision>
  <dcterms:created xsi:type="dcterms:W3CDTF">2018-06-21T23:02:00Z</dcterms:created>
  <dcterms:modified xsi:type="dcterms:W3CDTF">2018-06-21T23:02:00Z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AND STANDARDS GROUP</vt:lpwstr>
  </property>
  <property fmtid="{D5CDD505-2E9C-101B-9397-08002B2CF9AE}" pid="4" name="CTP_TimeStamp">
    <vt:lpwstr>2018-06-21 09:34:19Z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