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D46483A"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A780"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7A28">
        <w:rPr>
          <w:color w:val="auto"/>
          <w:sz w:val="24"/>
          <w:lang w:eastAsia="en-GB"/>
        </w:rPr>
        <w:t>3GPP TSG-RAN WG2 NR AdH</w:t>
      </w:r>
      <w:r w:rsidR="009672F2">
        <w:rPr>
          <w:color w:val="auto"/>
          <w:sz w:val="24"/>
          <w:lang w:eastAsia="en-GB"/>
        </w:rPr>
        <w:t>oc</w:t>
      </w:r>
      <w:r w:rsidR="002A7A28">
        <w:rPr>
          <w:color w:val="auto"/>
          <w:sz w:val="24"/>
          <w:lang w:eastAsia="en-GB"/>
        </w:rPr>
        <w:t xml:space="preserve"> #1807</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C261DD">
        <w:rPr>
          <w:i/>
          <w:color w:val="auto"/>
          <w:sz w:val="24"/>
          <w:lang w:eastAsia="zh-CN"/>
        </w:rPr>
        <w:t>9785</w:t>
      </w:r>
    </w:p>
    <w:p w14:paraId="2AE6D983" w14:textId="1076E670" w:rsidR="007E1DEE" w:rsidRPr="00C036E6" w:rsidRDefault="009672F2" w:rsidP="007E1DEE">
      <w:pPr>
        <w:pStyle w:val="Header"/>
        <w:tabs>
          <w:tab w:val="left" w:pos="6521"/>
        </w:tabs>
        <w:jc w:val="both"/>
        <w:rPr>
          <w:color w:val="auto"/>
          <w:sz w:val="24"/>
          <w:lang w:eastAsia="zh-CN"/>
        </w:rPr>
      </w:pPr>
      <w:r>
        <w:rPr>
          <w:color w:val="auto"/>
          <w:sz w:val="24"/>
          <w:lang w:eastAsia="zh-CN"/>
        </w:rPr>
        <w:t>Montreal</w:t>
      </w:r>
      <w:r w:rsidR="007A3C8B" w:rsidRPr="00943E97">
        <w:rPr>
          <w:color w:val="auto"/>
          <w:sz w:val="24"/>
        </w:rPr>
        <w:t xml:space="preserve">, </w:t>
      </w:r>
      <w:r>
        <w:rPr>
          <w:color w:val="auto"/>
          <w:sz w:val="24"/>
        </w:rPr>
        <w:t>Canada</w:t>
      </w:r>
      <w:r w:rsidR="007A3C8B" w:rsidRPr="00943E97">
        <w:rPr>
          <w:color w:val="auto"/>
          <w:sz w:val="24"/>
        </w:rPr>
        <w:t>,</w:t>
      </w:r>
      <w:r>
        <w:rPr>
          <w:color w:val="auto"/>
          <w:sz w:val="24"/>
        </w:rPr>
        <w:t xml:space="preserve"> 2 – 6 July</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2CCBFDFE"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w:t>
      </w:r>
      <w:r w:rsidR="007A3C8B">
        <w:rPr>
          <w:rFonts w:ascii="Arial" w:hAnsi="Arial"/>
          <w:b/>
          <w:sz w:val="24"/>
          <w:lang w:val="en-US" w:eastAsia="zh-CN"/>
        </w:rPr>
        <w:t>4</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ACD43F3"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672F2">
        <w:rPr>
          <w:rFonts w:ascii="Arial" w:hAnsi="Arial"/>
          <w:b/>
          <w:sz w:val="24"/>
          <w:lang w:val="en-US"/>
        </w:rPr>
        <w:t>Paging indication for change in UAC parameters</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D831242" w14:textId="37AC63EB" w:rsidR="00342EBF" w:rsidRDefault="00D20E67" w:rsidP="00342EBF">
      <w:r>
        <w:t>In RAN2#101</w:t>
      </w:r>
      <w:r w:rsidR="00342EBF">
        <w:t>bis</w:t>
      </w:r>
      <w:r>
        <w:t xml:space="preserve">, </w:t>
      </w:r>
      <w:r w:rsidR="005F1B8A">
        <w:t>RAN2 agreed</w:t>
      </w:r>
      <w:r>
        <w:t xml:space="preserve"> that</w:t>
      </w:r>
      <w:r w:rsidR="00342EBF">
        <w:t xml:space="preserve"> a single bit </w:t>
      </w:r>
      <w:r w:rsidR="00714E6C">
        <w:t xml:space="preserve">in the paging </w:t>
      </w:r>
      <w:r w:rsidR="00342EBF">
        <w:t>is used to indicate SIB 1 and SI change:</w:t>
      </w:r>
    </w:p>
    <w:p w14:paraId="17BB3410" w14:textId="77777777" w:rsidR="00342EBF" w:rsidRDefault="00342EBF" w:rsidP="00342EBF">
      <w:pPr>
        <w:pStyle w:val="Doc-text2"/>
        <w:pBdr>
          <w:top w:val="single" w:sz="4" w:space="1" w:color="auto"/>
          <w:left w:val="single" w:sz="4" w:space="4" w:color="auto"/>
          <w:bottom w:val="single" w:sz="4" w:space="1" w:color="auto"/>
          <w:right w:val="single" w:sz="4" w:space="4" w:color="auto"/>
        </w:pBdr>
      </w:pPr>
      <w:r>
        <w:t>Agreements</w:t>
      </w:r>
    </w:p>
    <w:p w14:paraId="03C91844" w14:textId="4E4AC70A" w:rsidR="00342EBF" w:rsidRDefault="00342EBF" w:rsidP="00342EBF">
      <w:pPr>
        <w:pStyle w:val="Doc-text2"/>
        <w:pBdr>
          <w:top w:val="single" w:sz="4" w:space="1" w:color="auto"/>
          <w:left w:val="single" w:sz="4" w:space="4" w:color="auto"/>
          <w:bottom w:val="single" w:sz="4" w:space="1" w:color="auto"/>
          <w:right w:val="single" w:sz="4" w:space="4" w:color="auto"/>
        </w:pBdr>
      </w:pPr>
      <w:r>
        <w:t>1:</w:t>
      </w:r>
      <w:r>
        <w:tab/>
        <w:t>Single bit is provided in paging message and in DCI (1 bit of the bit string provided by RAN1) to indicate system information change (i.e. no indication of SIB or SI message) As a consequence the UE reads SIB1 to determine what has changed. For idle mode case the UE also reads MIB.</w:t>
      </w:r>
    </w:p>
    <w:p w14:paraId="54B4A2FF" w14:textId="77777777" w:rsidR="00342EBF" w:rsidRDefault="00342EBF" w:rsidP="00342EBF"/>
    <w:p w14:paraId="04F9EB2E" w14:textId="5618925E" w:rsidR="00F10E98" w:rsidRDefault="00342EBF" w:rsidP="00342EBF">
      <w:r>
        <w:t xml:space="preserve">In order for the UE to </w:t>
      </w:r>
      <w:r w:rsidR="00C11DA2">
        <w:t xml:space="preserve">know </w:t>
      </w:r>
      <w:r>
        <w:t>which SI has changed, it needs to acquire SIB1 to determine which SI has changed</w:t>
      </w:r>
    </w:p>
    <w:p w14:paraId="0F408FF1" w14:textId="76879107" w:rsidR="00D20E67" w:rsidRDefault="00035A0E" w:rsidP="005F1B8A">
      <w:r>
        <w:t>For ETWS and CMAS SIB, RAN2 agreed to use a single indication</w:t>
      </w:r>
      <w:r w:rsidR="00714E6C">
        <w:t xml:space="preserve"> in the paging</w:t>
      </w:r>
      <w:r>
        <w:t xml:space="preserve"> instead of 2 indications as in LTE:</w:t>
      </w:r>
    </w:p>
    <w:p w14:paraId="701CC29C" w14:textId="77777777" w:rsidR="00035A0E" w:rsidRDefault="00035A0E" w:rsidP="00035A0E">
      <w:pPr>
        <w:pStyle w:val="Doc-text2"/>
        <w:pBdr>
          <w:top w:val="single" w:sz="4" w:space="1" w:color="auto"/>
          <w:left w:val="single" w:sz="4" w:space="4" w:color="auto"/>
          <w:bottom w:val="single" w:sz="4" w:space="1" w:color="auto"/>
          <w:right w:val="single" w:sz="4" w:space="4" w:color="auto"/>
        </w:pBdr>
      </w:pPr>
      <w:r>
        <w:t>Agreement</w:t>
      </w:r>
    </w:p>
    <w:p w14:paraId="1A62C107" w14:textId="77777777" w:rsidR="00035A0E" w:rsidRDefault="00035A0E" w:rsidP="00035A0E">
      <w:pPr>
        <w:pStyle w:val="Doc-text2"/>
        <w:pBdr>
          <w:top w:val="single" w:sz="4" w:space="1" w:color="auto"/>
          <w:left w:val="single" w:sz="4" w:space="4" w:color="auto"/>
          <w:bottom w:val="single" w:sz="4" w:space="1" w:color="auto"/>
          <w:right w:val="single" w:sz="4" w:space="4" w:color="auto"/>
        </w:pBdr>
      </w:pPr>
      <w:r>
        <w:t>1</w:t>
      </w:r>
      <w:r>
        <w:tab/>
        <w:t>Single bit is provided in paging message and in DCI for warning messages (not a separate bit for CMAS and ETWS as previously agreed). UE immediately acquires warning messages after this indication.</w:t>
      </w:r>
    </w:p>
    <w:p w14:paraId="5993ED34" w14:textId="77777777" w:rsidR="00035A0E" w:rsidRDefault="00035A0E" w:rsidP="00035A0E">
      <w:pPr>
        <w:pStyle w:val="Doc-text2"/>
        <w:pBdr>
          <w:top w:val="single" w:sz="4" w:space="1" w:color="auto"/>
          <w:left w:val="single" w:sz="4" w:space="4" w:color="auto"/>
          <w:bottom w:val="single" w:sz="4" w:space="1" w:color="auto"/>
          <w:right w:val="single" w:sz="4" w:space="4" w:color="auto"/>
        </w:pBdr>
      </w:pPr>
      <w:r>
        <w:t xml:space="preserve">FFS: Whether to make this a generic bit to indicate immediate acquisition of SI will be considered after AC discussion has progressed. </w:t>
      </w:r>
      <w:r>
        <w:tab/>
      </w:r>
    </w:p>
    <w:p w14:paraId="46339E5D" w14:textId="77777777" w:rsidR="00035A0E" w:rsidRDefault="00035A0E" w:rsidP="005F1B8A"/>
    <w:p w14:paraId="684DC2FC" w14:textId="3DD32F6E" w:rsidR="00295A48" w:rsidRDefault="00295A48" w:rsidP="005F1B8A">
      <w:r>
        <w:t>It is also marked as FFS in the running CR:</w:t>
      </w:r>
    </w:p>
    <w:p w14:paraId="27A1CEC8" w14:textId="77777777" w:rsidR="00295A48" w:rsidRDefault="00295A48" w:rsidP="00295A48">
      <w:pPr>
        <w:pStyle w:val="EditorsNote"/>
      </w:pPr>
      <w:r w:rsidRPr="00F35584">
        <w:t>Editor’s Note: [FFS</w:t>
      </w:r>
      <w:r>
        <w:t xml:space="preserve"> if</w:t>
      </w:r>
      <w:r w:rsidRPr="00F35584">
        <w:t xml:space="preserve"> the update mechanism for access control notifications and other non-access control configuration updates]</w:t>
      </w:r>
    </w:p>
    <w:p w14:paraId="07BF0354" w14:textId="1FF8CA9B" w:rsidR="005F1B8A" w:rsidRDefault="00F10E98" w:rsidP="005F1B8A">
      <w:r>
        <w:t xml:space="preserve">In this contribution, we </w:t>
      </w:r>
      <w:r w:rsidR="00E55340">
        <w:t>discuss whether to make the CMAS and ETWS indication generic</w:t>
      </w:r>
      <w:r w:rsidR="00035A0E">
        <w:t xml:space="preserve"> for the access control</w:t>
      </w:r>
      <w:r w:rsidR="00E55340">
        <w:t xml:space="preserve"> parameter change in SIB1</w:t>
      </w:r>
      <w:r>
        <w:t>.</w:t>
      </w:r>
    </w:p>
    <w:p w14:paraId="2AE6D98D" w14:textId="77777777" w:rsidR="003E1A61" w:rsidRDefault="003E1A61" w:rsidP="00F13226">
      <w:pPr>
        <w:pStyle w:val="Heading1"/>
      </w:pPr>
      <w:r>
        <w:t>Discussion</w:t>
      </w:r>
    </w:p>
    <w:p w14:paraId="776B4DDD" w14:textId="65A86ADA" w:rsidR="00A5107E" w:rsidRDefault="0067005B" w:rsidP="002F0CA0">
      <w:r w:rsidRPr="009672F2">
        <w:t xml:space="preserve">In the last meeting, it is left FFS on whether to make the PWS indication generic so that it can also </w:t>
      </w:r>
      <w:r w:rsidR="00E55340">
        <w:t>be applied</w:t>
      </w:r>
      <w:r w:rsidRPr="009672F2">
        <w:t xml:space="preserve"> to</w:t>
      </w:r>
      <w:r w:rsidR="00A5107E">
        <w:t xml:space="preserve"> change of access control parameters in SIB1</w:t>
      </w:r>
      <w:r w:rsidR="00450C4E" w:rsidRPr="009672F2">
        <w:t>.</w:t>
      </w:r>
      <w:r w:rsidR="00450C4E">
        <w:t xml:space="preserve"> </w:t>
      </w:r>
    </w:p>
    <w:p w14:paraId="3DC3D251" w14:textId="4108AD18" w:rsidR="00A5107E" w:rsidRDefault="00450C4E" w:rsidP="002F0CA0">
      <w:r w:rsidRPr="009672F2">
        <w:t xml:space="preserve">In LTE, </w:t>
      </w:r>
      <w:r w:rsidR="00D31274" w:rsidRPr="009672F2">
        <w:t xml:space="preserve">access control change will either require the UE to acquire the access control SIB immediately for the case of Extended Access Barring (EAB) or to acquire it at the next BCCH modification boundary for the case of ACB and ACDC.  </w:t>
      </w:r>
      <w:r w:rsidR="00A5107E">
        <w:t xml:space="preserve">The reason for acquiring the access control SIB immediately for the case of EAB and not on the BCCH modification boundary is to </w:t>
      </w:r>
      <w:r w:rsidR="00766585">
        <w:t xml:space="preserve">allow the network to immediately stop large number of MTC and delay tolerant UEs from accessing the cell. Another </w:t>
      </w:r>
      <w:r w:rsidR="00766585">
        <w:lastRenderedPageBreak/>
        <w:t>reason is to prevent large number of MTC and delay tolerant UEs from accessing cell at the BCCH modification boundary once the access barring is unset.</w:t>
      </w:r>
    </w:p>
    <w:p w14:paraId="0F9CF8BA" w14:textId="360EB6CA" w:rsidR="00A5107E" w:rsidRDefault="00A5107E" w:rsidP="002F0CA0">
      <w:r>
        <w:t xml:space="preserve">However, MTC is not currently in the scope of Rel-15 NR, neither is delay tolerant UEs. Even though one of the UE access categories in UAC is for delay tolerant UEs, it is </w:t>
      </w:r>
      <w:r w:rsidR="00E24124">
        <w:t xml:space="preserve">apparently </w:t>
      </w:r>
      <w:r>
        <w:t>designated for future use. Hence the current UAC is more for non-MTC</w:t>
      </w:r>
      <w:r w:rsidR="00766585">
        <w:t>/</w:t>
      </w:r>
      <w:r w:rsidR="00E24124">
        <w:t>non-</w:t>
      </w:r>
      <w:r w:rsidR="00766585">
        <w:t>delay tolerant</w:t>
      </w:r>
      <w:r>
        <w:t xml:space="preserve"> UEs and thus acquiring at the BCCH modification boundary is sufficient.</w:t>
      </w:r>
      <w:r w:rsidR="00766585" w:rsidRPr="00766585">
        <w:t xml:space="preserve"> </w:t>
      </w:r>
    </w:p>
    <w:p w14:paraId="6899A0D4" w14:textId="53BB8D43" w:rsidR="00A5107E" w:rsidRDefault="00A5107E" w:rsidP="002F0CA0">
      <w:r>
        <w:t xml:space="preserve">Furthermore, </w:t>
      </w:r>
      <w:r w:rsidR="00E24124">
        <w:t xml:space="preserve">if the reason for the immediate acquiring of the access control is only targeted for MTC and delay tolerant UEs, </w:t>
      </w:r>
      <w:r>
        <w:t xml:space="preserve">one consequence of making the PWS indication generic for immediate access control </w:t>
      </w:r>
      <w:r w:rsidR="00766585">
        <w:t>is that</w:t>
      </w:r>
      <w:r w:rsidR="00E24124">
        <w:t xml:space="preserve"> </w:t>
      </w:r>
      <w:r w:rsidR="00766585">
        <w:t>non-delay tolerant UEs may also be wake</w:t>
      </w:r>
      <w:r w:rsidR="00E55340">
        <w:t>n up to read the SIB</w:t>
      </w:r>
      <w:r w:rsidR="00766585">
        <w:t>1 for UAC parameters</w:t>
      </w:r>
      <w:r w:rsidR="00C96FD2">
        <w:t xml:space="preserve"> unnecessarily</w:t>
      </w:r>
      <w:r w:rsidR="00766585">
        <w:t>.</w:t>
      </w:r>
      <w:r w:rsidR="00E55340">
        <w:t xml:space="preserve"> </w:t>
      </w:r>
      <w:r w:rsidR="0015241E">
        <w:t>In this case,</w:t>
      </w:r>
      <w:r w:rsidR="00E24124">
        <w:t xml:space="preserve"> a separate indication would be need</w:t>
      </w:r>
      <w:r w:rsidR="00E55340">
        <w:t>ed</w:t>
      </w:r>
      <w:r w:rsidR="00E24124">
        <w:t xml:space="preserve"> instead when MTC and/or delay tolerant UEs are introduced in future release</w:t>
      </w:r>
      <w:r w:rsidR="00E55340">
        <w:t>.</w:t>
      </w:r>
    </w:p>
    <w:p w14:paraId="68BBD4A8" w14:textId="178E9C41" w:rsidR="00A5107E" w:rsidRDefault="00766585" w:rsidP="002F0CA0">
      <w:r>
        <w:t>Hence it is proposed that:</w:t>
      </w:r>
    </w:p>
    <w:p w14:paraId="744F0C0F" w14:textId="2F9CBF2D" w:rsidR="00766585" w:rsidRDefault="00766585" w:rsidP="002F0CA0">
      <w:r w:rsidRPr="00766585">
        <w:rPr>
          <w:b/>
        </w:rPr>
        <w:t>Proposal</w:t>
      </w:r>
      <w:r w:rsidR="00C96FD2">
        <w:rPr>
          <w:b/>
        </w:rPr>
        <w:t>#1</w:t>
      </w:r>
      <w:r w:rsidRPr="00766585">
        <w:rPr>
          <w:b/>
        </w:rPr>
        <w:t>:</w:t>
      </w:r>
      <w:r w:rsidR="00C94E7C">
        <w:t xml:space="preserve"> PWS indication </w:t>
      </w:r>
      <w:r w:rsidR="003C6951">
        <w:t xml:space="preserve">in paging </w:t>
      </w:r>
      <w:r w:rsidR="00C94E7C">
        <w:t>is not mad</w:t>
      </w:r>
      <w:r>
        <w:t>e generic for access control parameters in SIB1</w:t>
      </w:r>
      <w:r w:rsidR="00C96FD2">
        <w:t>.</w:t>
      </w:r>
    </w:p>
    <w:p w14:paraId="143A3531" w14:textId="4D350031" w:rsidR="00C96FD2" w:rsidRDefault="00C96FD2" w:rsidP="002F0CA0">
      <w:r w:rsidRPr="00C96FD2">
        <w:rPr>
          <w:b/>
        </w:rPr>
        <w:t>Proposal#2:</w:t>
      </w:r>
      <w:r w:rsidR="00E55340">
        <w:t xml:space="preserve"> For Rel-15, c</w:t>
      </w:r>
      <w:r>
        <w:t>hange of UAC parameters is indicated by SI change indication in the paging.</w:t>
      </w:r>
    </w:p>
    <w:p w14:paraId="5E10A652" w14:textId="2A06A883" w:rsidR="00D24770" w:rsidRDefault="00D24770" w:rsidP="002F0CA0">
      <w:r>
        <w:t>If Proposals#1 and #2 are agreed, it is just removing the Editor’s note in the running CR.</w:t>
      </w:r>
    </w:p>
    <w:p w14:paraId="2AE6D99F" w14:textId="77777777" w:rsidR="00FB082B" w:rsidRPr="003A28F3" w:rsidRDefault="00FB082B" w:rsidP="006D66EA">
      <w:pPr>
        <w:pStyle w:val="Heading1"/>
      </w:pPr>
      <w:r w:rsidRPr="003A28F3">
        <w:t xml:space="preserve">Conclusion and </w:t>
      </w:r>
      <w:r w:rsidRPr="006D66EA">
        <w:t>proposals</w:t>
      </w:r>
    </w:p>
    <w:p w14:paraId="2AE6D9A0" w14:textId="0FE9A5D2" w:rsidR="00FB082B" w:rsidRDefault="00E30DAC" w:rsidP="00FB082B">
      <w:r w:rsidRPr="003A28F3">
        <w:t>It is requested that RAN 2 discuss and agree on the following proposal:</w:t>
      </w:r>
    </w:p>
    <w:p w14:paraId="28825FFC" w14:textId="1950C93D" w:rsidR="00C96FD2" w:rsidRDefault="00C96FD2" w:rsidP="00C96FD2">
      <w:r w:rsidRPr="00766585">
        <w:rPr>
          <w:b/>
        </w:rPr>
        <w:t>Proposal</w:t>
      </w:r>
      <w:r>
        <w:rPr>
          <w:b/>
        </w:rPr>
        <w:t>#1</w:t>
      </w:r>
      <w:r w:rsidRPr="00766585">
        <w:rPr>
          <w:b/>
        </w:rPr>
        <w:t>:</w:t>
      </w:r>
      <w:r w:rsidR="00C94E7C">
        <w:t xml:space="preserve"> PWS indication</w:t>
      </w:r>
      <w:r w:rsidR="003C6951">
        <w:t xml:space="preserve"> in paging</w:t>
      </w:r>
      <w:r w:rsidR="00C94E7C">
        <w:t xml:space="preserve"> is not mad</w:t>
      </w:r>
      <w:r>
        <w:t>e generic for access control parameters in SIB1.</w:t>
      </w:r>
    </w:p>
    <w:p w14:paraId="2CA91B38" w14:textId="77777777" w:rsidR="00C96FD2" w:rsidRDefault="00C96FD2" w:rsidP="00C96FD2">
      <w:r w:rsidRPr="00C96FD2">
        <w:rPr>
          <w:b/>
        </w:rPr>
        <w:t>Proposal#2:</w:t>
      </w:r>
      <w:r>
        <w:t xml:space="preserve"> For Rel-15, Change of UAC parameters is indicated by SI change indication in the paging.</w:t>
      </w:r>
    </w:p>
    <w:p w14:paraId="4D6CD6C4" w14:textId="754156E9" w:rsidR="002F737D" w:rsidRDefault="002F737D" w:rsidP="005818CE"/>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B92A2" w14:textId="77777777" w:rsidR="00A55C3C" w:rsidRDefault="00A55C3C" w:rsidP="00DF7110">
      <w:pPr>
        <w:spacing w:after="0" w:line="240" w:lineRule="auto"/>
      </w:pPr>
      <w:r>
        <w:separator/>
      </w:r>
    </w:p>
  </w:endnote>
  <w:endnote w:type="continuationSeparator" w:id="0">
    <w:p w14:paraId="185DC56E" w14:textId="77777777" w:rsidR="00A55C3C" w:rsidRDefault="00A55C3C"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661E0" w14:textId="77777777" w:rsidR="00A55C3C" w:rsidRDefault="00A55C3C" w:rsidP="00DF7110">
      <w:pPr>
        <w:spacing w:after="0" w:line="240" w:lineRule="auto"/>
      </w:pPr>
      <w:r>
        <w:separator/>
      </w:r>
    </w:p>
  </w:footnote>
  <w:footnote w:type="continuationSeparator" w:id="0">
    <w:p w14:paraId="6DCA1CC4" w14:textId="77777777" w:rsidR="00A55C3C" w:rsidRDefault="00A55C3C"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0"/>
  </w:num>
  <w:num w:numId="3">
    <w:abstractNumId w:val="27"/>
  </w:num>
  <w:num w:numId="4">
    <w:abstractNumId w:val="39"/>
  </w:num>
  <w:num w:numId="5">
    <w:abstractNumId w:val="21"/>
  </w:num>
  <w:num w:numId="6">
    <w:abstractNumId w:val="39"/>
  </w:num>
  <w:num w:numId="7">
    <w:abstractNumId w:val="40"/>
  </w:num>
  <w:num w:numId="8">
    <w:abstractNumId w:val="24"/>
  </w:num>
  <w:num w:numId="9">
    <w:abstractNumId w:val="19"/>
  </w:num>
  <w:num w:numId="10">
    <w:abstractNumId w:val="10"/>
  </w:num>
  <w:num w:numId="11">
    <w:abstractNumId w:val="29"/>
  </w:num>
  <w:num w:numId="12">
    <w:abstractNumId w:val="3"/>
  </w:num>
  <w:num w:numId="13">
    <w:abstractNumId w:val="20"/>
  </w:num>
  <w:num w:numId="14">
    <w:abstractNumId w:val="12"/>
  </w:num>
  <w:num w:numId="15">
    <w:abstractNumId w:val="14"/>
  </w:num>
  <w:num w:numId="16">
    <w:abstractNumId w:val="34"/>
  </w:num>
  <w:num w:numId="17">
    <w:abstractNumId w:val="25"/>
  </w:num>
  <w:num w:numId="18">
    <w:abstractNumId w:val="16"/>
  </w:num>
  <w:num w:numId="19">
    <w:abstractNumId w:val="38"/>
  </w:num>
  <w:num w:numId="20">
    <w:abstractNumId w:val="31"/>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8"/>
  </w:num>
  <w:num w:numId="26">
    <w:abstractNumId w:val="15"/>
  </w:num>
  <w:num w:numId="27">
    <w:abstractNumId w:val="23"/>
  </w:num>
  <w:num w:numId="28">
    <w:abstractNumId w:val="32"/>
  </w:num>
  <w:num w:numId="29">
    <w:abstractNumId w:val="36"/>
  </w:num>
  <w:num w:numId="30">
    <w:abstractNumId w:val="22"/>
  </w:num>
  <w:num w:numId="31">
    <w:abstractNumId w:val="33"/>
  </w:num>
  <w:num w:numId="32">
    <w:abstractNumId w:val="2"/>
  </w:num>
  <w:num w:numId="33">
    <w:abstractNumId w:val="0"/>
  </w:num>
  <w:num w:numId="34">
    <w:abstractNumId w:val="11"/>
  </w:num>
  <w:num w:numId="35">
    <w:abstractNumId w:val="26"/>
  </w:num>
  <w:num w:numId="36">
    <w:abstractNumId w:val="4"/>
  </w:num>
  <w:num w:numId="37">
    <w:abstractNumId w:val="35"/>
  </w:num>
  <w:num w:numId="38">
    <w:abstractNumId w:val="18"/>
  </w:num>
  <w:num w:numId="39">
    <w:abstractNumId w:val="7"/>
  </w:num>
  <w:num w:numId="40">
    <w:abstractNumId w:val="5"/>
  </w:num>
  <w:num w:numId="41">
    <w:abstractNumId w:val="6"/>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3F"/>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41E"/>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5A48"/>
    <w:rsid w:val="00296141"/>
    <w:rsid w:val="002962C3"/>
    <w:rsid w:val="002966A2"/>
    <w:rsid w:val="00297485"/>
    <w:rsid w:val="002A20BD"/>
    <w:rsid w:val="002A23F7"/>
    <w:rsid w:val="002A2CBA"/>
    <w:rsid w:val="002A3064"/>
    <w:rsid w:val="002A500D"/>
    <w:rsid w:val="002A635B"/>
    <w:rsid w:val="002A68E6"/>
    <w:rsid w:val="002A6DE2"/>
    <w:rsid w:val="002A7A28"/>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C6951"/>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5C3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61DD"/>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4E7C"/>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87ADB"/>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124"/>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534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aliases w:val="EN"/>
    <w:basedOn w:val="NO"/>
    <w:link w:val="EditorsNoteChar"/>
    <w:rsid w:val="00E62B7C"/>
    <w:rPr>
      <w:color w:val="FF0000"/>
    </w:rPr>
  </w:style>
  <w:style w:type="character" w:customStyle="1" w:styleId="EditorsNoteChar">
    <w:name w:val="Editor's Note Char"/>
    <w:aliases w:val="EN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3184</Characters>
  <Application>Microsoft Office Word</Application>
  <DocSecurity>0</DocSecurity>
  <Lines>74</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2018-06-21T22:06:00Z</dcterms:created>
  <dcterms:modified xsi:type="dcterms:W3CDTF">2018-06-21T22:06:00Z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9229e6fa-975e-432e-a423-0b09c404ab2f</vt:lpwstr>
  </property>
  <property fmtid="{D5CDD505-2E9C-101B-9397-08002B2CF9AE}" pid="3" name="CTP_BU">
    <vt:lpwstr>NEXT GEN AND STANDARDS GROUP</vt:lpwstr>
  </property>
  <property fmtid="{D5CDD505-2E9C-101B-9397-08002B2CF9AE}" pid="4" name="CTP_TimeStamp">
    <vt:lpwstr>2018-06-21 13:31:39Z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