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FEBB5" w14:textId="68C603D5" w:rsidR="001C69C4" w:rsidRDefault="001C69C4" w:rsidP="001C69C4">
      <w:pPr>
        <w:pStyle w:val="Header"/>
        <w:tabs>
          <w:tab w:val="left" w:pos="6521"/>
        </w:tabs>
        <w:jc w:val="both"/>
      </w:pPr>
      <w:r>
        <w:rPr>
          <w:noProof/>
          <w:lang w:val="en-GB" w:eastAsia="en-GB"/>
        </w:rPr>
        <mc:AlternateContent>
          <mc:Choice Requires="wps">
            <w:drawing>
              <wp:anchor distT="0" distB="0" distL="114300" distR="114300" simplePos="0" relativeHeight="251659264" behindDoc="0" locked="1" layoutInCell="1" allowOverlap="1" wp14:anchorId="4B7FEBD9" wp14:editId="4B7FEBDA">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3F4069"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t>3GPP TSG-RAN WG2 Meeting Ad hoc</w:t>
      </w:r>
      <w:r>
        <w:rPr>
          <w:lang w:eastAsia="zh-CN"/>
        </w:rPr>
        <w:tab/>
      </w:r>
      <w:r>
        <w:rPr>
          <w:lang w:eastAsia="zh-CN"/>
        </w:rPr>
        <w:tab/>
      </w:r>
      <w:bookmarkStart w:id="0" w:name="_GoBack"/>
      <w:r w:rsidR="00AB74C5" w:rsidRPr="00AB74C5">
        <w:rPr>
          <w:i/>
        </w:rPr>
        <w:t>R2-1707036</w:t>
      </w:r>
      <w:bookmarkEnd w:id="0"/>
    </w:p>
    <w:p w14:paraId="4B7FEBB6" w14:textId="77777777" w:rsidR="001C69C4" w:rsidRDefault="001C69C4" w:rsidP="001C69C4">
      <w:pPr>
        <w:pStyle w:val="Header"/>
        <w:tabs>
          <w:tab w:val="left" w:pos="5103"/>
        </w:tabs>
        <w:jc w:val="both"/>
        <w:rPr>
          <w:lang w:eastAsia="zh-CN"/>
        </w:rPr>
      </w:pPr>
      <w:r>
        <w:rPr>
          <w:lang w:eastAsia="zh-CN"/>
        </w:rPr>
        <w:t>Qingdao</w:t>
      </w:r>
      <w:r>
        <w:t xml:space="preserve">, </w:t>
      </w:r>
      <w:r>
        <w:rPr>
          <w:lang w:eastAsia="zh-CN"/>
        </w:rPr>
        <w:t>China</w:t>
      </w:r>
      <w:r>
        <w:t xml:space="preserve">, </w:t>
      </w:r>
      <w:r>
        <w:rPr>
          <w:lang w:eastAsia="zh-CN"/>
        </w:rPr>
        <w:t>27</w:t>
      </w:r>
      <w:r>
        <w:t>-</w:t>
      </w:r>
      <w:r>
        <w:rPr>
          <w:lang w:eastAsia="zh-CN"/>
        </w:rPr>
        <w:t>29</w:t>
      </w:r>
      <w:r>
        <w:t xml:space="preserve"> </w:t>
      </w:r>
      <w:r>
        <w:rPr>
          <w:lang w:eastAsia="zh-CN"/>
        </w:rPr>
        <w:t>June</w:t>
      </w:r>
      <w:r>
        <w:t>, 201</w:t>
      </w:r>
      <w:r>
        <w:rPr>
          <w:lang w:eastAsia="zh-CN"/>
        </w:rPr>
        <w:t>7</w:t>
      </w:r>
      <w:r>
        <w:rPr>
          <w:lang w:eastAsia="zh-CN"/>
        </w:rPr>
        <w:tab/>
      </w:r>
      <w:r>
        <w:rPr>
          <w:lang w:eastAsia="zh-CN"/>
        </w:rPr>
        <w:tab/>
      </w:r>
    </w:p>
    <w:p w14:paraId="4B7FEBB7" w14:textId="77777777" w:rsidR="001C69C4" w:rsidRPr="00DF27F6" w:rsidRDefault="001C69C4" w:rsidP="001C69C4">
      <w:pPr>
        <w:pStyle w:val="Header"/>
        <w:rPr>
          <w:rFonts w:ascii="Intel Clear" w:hAnsi="Intel Clear" w:cs="Intel Clear"/>
          <w:lang w:val="en-US"/>
        </w:rPr>
      </w:pPr>
    </w:p>
    <w:p w14:paraId="4B7FEBB8" w14:textId="77777777" w:rsidR="001C69C4" w:rsidRPr="0031551B" w:rsidRDefault="001C69C4" w:rsidP="001C69C4">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Pr>
          <w:rFonts w:ascii="Intel Clear" w:hAnsi="Intel Clear" w:cs="Intel Clear"/>
        </w:rPr>
        <w:t xml:space="preserve">5G QoS with DC </w:t>
      </w:r>
    </w:p>
    <w:p w14:paraId="4B7FEBB9" w14:textId="77777777" w:rsidR="001C69C4" w:rsidRPr="0031551B" w:rsidRDefault="001C69C4" w:rsidP="001C69C4">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4B7FEBBA" w14:textId="0F8DEF1A" w:rsidR="001C69C4" w:rsidRPr="0031551B" w:rsidRDefault="001C69C4" w:rsidP="001C69C4">
      <w:pPr>
        <w:tabs>
          <w:tab w:val="left" w:pos="1985"/>
        </w:tabs>
        <w:jc w:val="both"/>
        <w:rPr>
          <w:rFonts w:ascii="Intel Clear" w:hAnsi="Intel Clear" w:cs="Intel Clear"/>
          <w:sz w:val="24"/>
        </w:rPr>
      </w:pPr>
      <w:r w:rsidRPr="0031551B">
        <w:rPr>
          <w:rFonts w:ascii="Intel Clear" w:hAnsi="Intel Clear" w:cs="Intel Clear"/>
          <w:b/>
          <w:sz w:val="24"/>
        </w:rPr>
        <w:t>Agenda item:</w:t>
      </w:r>
      <w:r w:rsidRPr="0031551B">
        <w:rPr>
          <w:rFonts w:ascii="Intel Clear" w:hAnsi="Intel Clear" w:cs="Intel Clear"/>
          <w:sz w:val="24"/>
        </w:rPr>
        <w:tab/>
      </w:r>
      <w:r w:rsidR="00AB74C5" w:rsidRPr="00AB74C5">
        <w:rPr>
          <w:rFonts w:ascii="Intel Clear" w:hAnsi="Intel Clear" w:cs="Intel Clear"/>
          <w:sz w:val="24"/>
        </w:rPr>
        <w:t>10.2.13</w:t>
      </w:r>
    </w:p>
    <w:p w14:paraId="4B7FEBBB" w14:textId="77777777" w:rsidR="001C69C4" w:rsidRPr="0031551B" w:rsidRDefault="001C69C4" w:rsidP="001C69C4">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4B7FEBBC" w14:textId="77777777" w:rsidR="001C69C4" w:rsidRDefault="001C69C4" w:rsidP="001C69C4">
      <w:pPr>
        <w:pStyle w:val="Heading1"/>
        <w:rPr>
          <w:lang w:val="en-US"/>
        </w:rPr>
      </w:pPr>
      <w:r>
        <w:rPr>
          <w:lang w:val="en-US"/>
        </w:rPr>
        <w:t>Introduction</w:t>
      </w:r>
    </w:p>
    <w:p w14:paraId="4B7FEBBD" w14:textId="255D9B42" w:rsidR="00681090" w:rsidRDefault="001C69C4">
      <w:r>
        <w:t xml:space="preserve">5G QoS model is different from LTE (amongst others) in that there is use of reflective QoS without explicit signalling and there is no one to one association between a QoS Flow and DRB.  Both of these have impact on RAN procedures when Dual Connectivity is configured.  </w:t>
      </w:r>
    </w:p>
    <w:p w14:paraId="4B7FEBBE" w14:textId="77777777" w:rsidR="001C69C4" w:rsidRDefault="00CE77E2">
      <w:r>
        <w:t xml:space="preserve">This document discusses </w:t>
      </w:r>
      <w:r w:rsidR="00F555E4">
        <w:t>the different options for handling a new QoS flow in RAN specifically from UE perspective.</w:t>
      </w:r>
    </w:p>
    <w:p w14:paraId="4B7FEBBF" w14:textId="77777777" w:rsidR="00CE77E2" w:rsidRDefault="00CE77E2" w:rsidP="00CE77E2">
      <w:pPr>
        <w:pStyle w:val="Heading1"/>
      </w:pPr>
      <w:r>
        <w:t>Discussion</w:t>
      </w:r>
    </w:p>
    <w:p w14:paraId="4B7FEBC0" w14:textId="77777777" w:rsidR="00CE77E2" w:rsidRDefault="00CE77E2" w:rsidP="00CE77E2">
      <w:r>
        <w:t xml:space="preserve">Two new aspects of 5G QoS that needs special consideration with Dual connectivity are the use of reflective QoS without any explicit signalling and that it is up to gNB to decide on the QoS flow to DRB mapping.  </w:t>
      </w:r>
    </w:p>
    <w:p w14:paraId="4B7FEBC1" w14:textId="77777777" w:rsidR="00CE77E2" w:rsidRDefault="00CE77E2" w:rsidP="00CE77E2">
      <w:r>
        <w:t>With reflective QoS,</w:t>
      </w:r>
      <w:r w:rsidR="00F03810">
        <w:t xml:space="preserve"> a packet for a new QoS flow requiring a different QoS handling can be sent directly to the RAN by the CN without any immediate prior explicit signalling.  </w:t>
      </w:r>
      <w:r w:rsidR="00F63B57">
        <w:t xml:space="preserve">This may then result in RAN setting up a new DRB or sending data on one of the existing DRB, with RAN node taking this decision.  Further, RAN node may use explicit RAN signalling or RAN reflective mapping.  </w:t>
      </w:r>
    </w:p>
    <w:p w14:paraId="4B7FEBC2" w14:textId="77777777" w:rsidR="00884C69" w:rsidRDefault="00F63B57" w:rsidP="00CE77E2">
      <w:r>
        <w:t xml:space="preserve">With Dual connectivity, the first packet for a new </w:t>
      </w:r>
      <w:r w:rsidR="00673275">
        <w:t xml:space="preserve">QoS flow will arrive at the MN by default unless all the DRBs of the PDU session is moved to SN.  </w:t>
      </w:r>
      <w:r w:rsidR="00884C69">
        <w:t>The following decisions need to be made:</w:t>
      </w:r>
    </w:p>
    <w:p w14:paraId="4B7FEBC3" w14:textId="6C327E96" w:rsidR="00884C69" w:rsidRDefault="00884C69" w:rsidP="001E7722">
      <w:pPr>
        <w:pStyle w:val="ListParagraph"/>
        <w:numPr>
          <w:ilvl w:val="0"/>
          <w:numId w:val="3"/>
        </w:numPr>
      </w:pPr>
      <w:r>
        <w:t>Whether the QoS Flow is served by the MN or SN.  This decision must be made by the node where the flow or signalling arrives.</w:t>
      </w:r>
      <w:r w:rsidR="00530DD3">
        <w:t xml:space="preserve">  This is normally the MN (unless the whole </w:t>
      </w:r>
      <w:r w:rsidR="009E1DAA">
        <w:t xml:space="preserve">PDU session is being served by </w:t>
      </w:r>
      <w:r w:rsidR="00530DD3">
        <w:t>SN).</w:t>
      </w:r>
    </w:p>
    <w:p w14:paraId="4B7FEBC4" w14:textId="1319EC73" w:rsidR="00530DD3" w:rsidRDefault="00884C69" w:rsidP="001E7722">
      <w:pPr>
        <w:pStyle w:val="ListParagraph"/>
        <w:numPr>
          <w:ilvl w:val="0"/>
          <w:numId w:val="3"/>
        </w:numPr>
      </w:pPr>
      <w:r>
        <w:t xml:space="preserve">Whether to set up a new DRB or re-use an existing DRB.  This could be done by either </w:t>
      </w:r>
      <w:r w:rsidR="00530DD3">
        <w:t xml:space="preserve">node </w:t>
      </w:r>
      <w:r>
        <w:t xml:space="preserve">but it </w:t>
      </w:r>
      <w:r w:rsidR="00530DD3">
        <w:t>seems reasonable to assume that the node where the QoS Flow is being served makes the decision.  Thus, for a QoS Flow served by SN, the SN makes the decision to set up the new DRB</w:t>
      </w:r>
      <w:r w:rsidR="002674FF">
        <w:t xml:space="preserve"> and whether the DRB is a split DRB or SCG DRB</w:t>
      </w:r>
    </w:p>
    <w:p w14:paraId="4B7FEBC5" w14:textId="743CC797" w:rsidR="00FB34DC" w:rsidRDefault="009E1DAA" w:rsidP="001E7722">
      <w:pPr>
        <w:pStyle w:val="ListParagraph"/>
        <w:numPr>
          <w:ilvl w:val="0"/>
          <w:numId w:val="3"/>
        </w:numPr>
      </w:pPr>
      <w:r>
        <w:t>W</w:t>
      </w:r>
      <w:r w:rsidR="00530DD3">
        <w:t>hether to use RAN reflective mapping or Explicit signalling.  This could be done by either node but it seems reasonable to assume that the node where the QoS Flow is being served makes the decision.  Thus, for a QoS Flow served by SN, the SN makes the decision to set up the new DRB.</w:t>
      </w:r>
    </w:p>
    <w:p w14:paraId="38A2510B" w14:textId="4AC557E7" w:rsidR="00F36547" w:rsidRPr="00B015A9" w:rsidRDefault="00F36547" w:rsidP="00CE77E2">
      <w:pPr>
        <w:rPr>
          <w:b/>
        </w:rPr>
      </w:pPr>
      <w:r w:rsidRPr="00E2313B">
        <w:rPr>
          <w:b/>
        </w:rPr>
        <w:t>Proposal</w:t>
      </w:r>
      <w:r w:rsidR="00560E80">
        <w:rPr>
          <w:b/>
        </w:rPr>
        <w:t xml:space="preserve"> #1</w:t>
      </w:r>
      <w:r w:rsidRPr="00E2313B">
        <w:rPr>
          <w:b/>
        </w:rPr>
        <w:t xml:space="preserve">: MN decides whether a QoS Flow is handed as SCG/SCG split bearer.  SN decides whether to use a new DRB and whether </w:t>
      </w:r>
      <w:r w:rsidR="002674FF">
        <w:rPr>
          <w:b/>
        </w:rPr>
        <w:t xml:space="preserve">the new DRB is a split DRB or SCG DRB.  SN also decides whether </w:t>
      </w:r>
      <w:r w:rsidRPr="00E2313B">
        <w:rPr>
          <w:b/>
        </w:rPr>
        <w:t>to use AS explicit signalling or AS reflective mapping.</w:t>
      </w:r>
    </w:p>
    <w:p w14:paraId="4B7FEBC6" w14:textId="5B0B53C0" w:rsidR="00530DD3" w:rsidRDefault="00816C43" w:rsidP="00CE77E2">
      <w:r>
        <w:lastRenderedPageBreak/>
        <w:t xml:space="preserve">While the choices above seems reasonable at this time, it may not always be the optimal decision and it is difficult to do a complete analysis of all possible </w:t>
      </w:r>
      <w:r w:rsidR="0053317E">
        <w:t xml:space="preserve">(future) </w:t>
      </w:r>
      <w:r>
        <w:t>deployment scenarios at this time.</w:t>
      </w:r>
      <w:r w:rsidR="001E7722">
        <w:t xml:space="preserve">  T</w:t>
      </w:r>
      <w:r w:rsidR="009E1DAA">
        <w:t xml:space="preserve">o be forward compatible with </w:t>
      </w:r>
      <w:r w:rsidR="001E7722">
        <w:t xml:space="preserve">network options, it would be useful and simpler if the UE can be made agnostic of which node makes these decisions.   This can be achieved with </w:t>
      </w:r>
      <w:r w:rsidR="004345E9">
        <w:t xml:space="preserve">an RRC DRB setup configuration that is put together by MN and includes the SN (as with any other dual connectivity configuration) and its own configuration.  </w:t>
      </w:r>
    </w:p>
    <w:p w14:paraId="4B7FEBC7" w14:textId="4FE2614D" w:rsidR="004345E9" w:rsidRPr="00C455E8" w:rsidRDefault="004345E9" w:rsidP="00CE77E2">
      <w:pPr>
        <w:rPr>
          <w:b/>
        </w:rPr>
      </w:pPr>
      <w:r w:rsidRPr="00C455E8">
        <w:rPr>
          <w:b/>
        </w:rPr>
        <w:t>Proposal</w:t>
      </w:r>
      <w:r w:rsidR="00560E80">
        <w:rPr>
          <w:b/>
        </w:rPr>
        <w:t xml:space="preserve"> #2</w:t>
      </w:r>
      <w:r w:rsidRPr="00C455E8">
        <w:rPr>
          <w:b/>
        </w:rPr>
        <w:t xml:space="preserve">: RRC reconfiguration message </w:t>
      </w:r>
      <w:r w:rsidR="00C455E8" w:rsidRPr="00C455E8">
        <w:rPr>
          <w:b/>
        </w:rPr>
        <w:t>structure (and UE) should be transparent to which node initiated the DRB</w:t>
      </w:r>
      <w:r w:rsidR="00F36547">
        <w:rPr>
          <w:b/>
        </w:rPr>
        <w:t xml:space="preserve"> setup for the split/SCG DRB</w:t>
      </w:r>
      <w:r w:rsidR="00C455E8" w:rsidRPr="00C455E8">
        <w:rPr>
          <w:b/>
        </w:rPr>
        <w:t>.</w:t>
      </w:r>
    </w:p>
    <w:p w14:paraId="4B7FEBC8" w14:textId="1EDB3935" w:rsidR="004345E9" w:rsidRDefault="00F16AE8" w:rsidP="00CE77E2">
      <w:r>
        <w:t>Details of the RRC structure is shown i</w:t>
      </w:r>
      <w:r w:rsidRPr="00131C23">
        <w:t>n</w:t>
      </w:r>
      <w:r w:rsidRPr="00B015A9">
        <w:t xml:space="preserve"> [</w:t>
      </w:r>
      <w:r w:rsidR="00131C23" w:rsidRPr="00B015A9">
        <w:t>R2-1707048</w:t>
      </w:r>
      <w:r w:rsidRPr="00B015A9">
        <w:t>]</w:t>
      </w:r>
      <w:r w:rsidRPr="00131C23">
        <w:t xml:space="preserve">.  </w:t>
      </w:r>
      <w:r w:rsidR="004345E9">
        <w:t>An example message flow for such a DRB set up decision by SN is shown in the figure below.</w:t>
      </w:r>
      <w:r w:rsidR="00131C23">
        <w:t xml:space="preserve"> The shaded section involves signalling to the UE and this should be the same irrespective of </w:t>
      </w:r>
      <w:r w:rsidR="00560E80">
        <w:t>which node initiated the DRB setup.</w:t>
      </w:r>
    </w:p>
    <w:p w14:paraId="4B7FEBC9" w14:textId="77777777" w:rsidR="008754F5" w:rsidRDefault="008754F5" w:rsidP="00CE77E2"/>
    <w:p w14:paraId="4B7FEBCA" w14:textId="6002C3BF" w:rsidR="00EF20D3" w:rsidRDefault="006F353C" w:rsidP="00CE77E2">
      <w:r>
        <w:object w:dxaOrig="14505" w:dyaOrig="8160" w14:anchorId="4B7FE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53.5pt" o:ole="">
            <v:imagedata r:id="rId9" o:title=""/>
          </v:shape>
          <o:OLEObject Type="Embed" ProgID="Visio.Drawing.15" ShapeID="_x0000_i1025" DrawAspect="Content" ObjectID="_1559172037" r:id="rId10"/>
        </w:object>
      </w:r>
    </w:p>
    <w:p w14:paraId="4B7FEBCB" w14:textId="77777777" w:rsidR="00C26130" w:rsidRDefault="004345E9" w:rsidP="00CE77E2">
      <w:r>
        <w:t xml:space="preserve">1. </w:t>
      </w:r>
      <w:r w:rsidR="00C455E8">
        <w:t>New QoS Flow arrives at MN</w:t>
      </w:r>
    </w:p>
    <w:p w14:paraId="4B7FEBCC" w14:textId="5B2E6C16" w:rsidR="00C455E8" w:rsidRDefault="00C455E8" w:rsidP="00CE77E2">
      <w:r>
        <w:t xml:space="preserve">2. MN </w:t>
      </w:r>
      <w:r w:rsidR="002674FF">
        <w:t>decides to handle this QoS Flow at SN</w:t>
      </w:r>
      <w:r w:rsidR="007948F5">
        <w:t xml:space="preserve"> </w:t>
      </w:r>
    </w:p>
    <w:p w14:paraId="4B7FEBCD" w14:textId="1EF56CEC" w:rsidR="00C455E8" w:rsidRDefault="00C455E8" w:rsidP="00CE77E2">
      <w:r>
        <w:t xml:space="preserve">3. New QoS flow packet is </w:t>
      </w:r>
      <w:r w:rsidR="007948F5">
        <w:t xml:space="preserve">forwarded </w:t>
      </w:r>
      <w:r>
        <w:t>to SN</w:t>
      </w:r>
      <w:r w:rsidR="007948F5">
        <w:t xml:space="preserve"> by MN</w:t>
      </w:r>
      <w:r>
        <w:t>.</w:t>
      </w:r>
    </w:p>
    <w:p w14:paraId="4B7FEBCE" w14:textId="55B77F9A" w:rsidR="00C455E8" w:rsidRDefault="00F90F94" w:rsidP="00CE77E2">
      <w:r>
        <w:t>4</w:t>
      </w:r>
      <w:r w:rsidR="00C455E8">
        <w:t xml:space="preserve">. SN decides to set up a new </w:t>
      </w:r>
      <w:r w:rsidR="00CF29CC">
        <w:t xml:space="preserve">Split SCG </w:t>
      </w:r>
      <w:r w:rsidR="00C455E8">
        <w:t>DRB.</w:t>
      </w:r>
    </w:p>
    <w:p w14:paraId="4B7FEBCF" w14:textId="77777777" w:rsidR="00F90F94" w:rsidRDefault="00F90F94" w:rsidP="00CE77E2">
      <w:r>
        <w:t xml:space="preserve">5. SN provides the SN part of the DRB configuration </w:t>
      </w:r>
      <w:r w:rsidR="001D582D">
        <w:t>(including</w:t>
      </w:r>
      <w:r>
        <w:t xml:space="preserve"> the </w:t>
      </w:r>
      <w:r w:rsidR="001D582D">
        <w:t xml:space="preserve">explicit AS Mapping info if any) </w:t>
      </w:r>
      <w:r>
        <w:t xml:space="preserve">to the MN.  </w:t>
      </w:r>
    </w:p>
    <w:p w14:paraId="4B7FEBD0" w14:textId="77777777" w:rsidR="00F90F94" w:rsidRDefault="00F90F94" w:rsidP="00CE77E2">
      <w:r>
        <w:t>6. MN adds MN specific DRB configuration parameters for the DRB and send the RRC reconfiguration for DRB set up to UE.</w:t>
      </w:r>
    </w:p>
    <w:p w14:paraId="4B7FEBD1" w14:textId="77777777" w:rsidR="001D582D" w:rsidRDefault="001D582D" w:rsidP="00CE77E2">
      <w:r>
        <w:t>7. UE set ups the DRB and also updates the mapping table.</w:t>
      </w:r>
    </w:p>
    <w:p w14:paraId="074212F9" w14:textId="77777777" w:rsidR="002674FF" w:rsidRDefault="002674FF" w:rsidP="002674FF">
      <w:r>
        <w:t>8. RRC recong complete</w:t>
      </w:r>
    </w:p>
    <w:p w14:paraId="0CDEA11E" w14:textId="486066E9" w:rsidR="002674FF" w:rsidRDefault="002674FF" w:rsidP="002674FF">
      <w:r>
        <w:t xml:space="preserve">9. RAN3/SA2 defined procedures to </w:t>
      </w:r>
      <w:r w:rsidR="00AA3CB2">
        <w:t>move</w:t>
      </w:r>
      <w:r>
        <w:t xml:space="preserve"> the QFI flow to sgNB</w:t>
      </w:r>
    </w:p>
    <w:p w14:paraId="18684D0A" w14:textId="53D7BA63" w:rsidR="00E2313B" w:rsidRDefault="002674FF" w:rsidP="002674FF">
      <w:r>
        <w:t>10. Data exchanged between UE and network over Split DRB (split SCG bearer over network)</w:t>
      </w:r>
    </w:p>
    <w:p w14:paraId="4B7FEBD2" w14:textId="77777777" w:rsidR="001E7722" w:rsidRDefault="001E7722" w:rsidP="00CE77E2"/>
    <w:p w14:paraId="4B7FEBD3" w14:textId="5ED46D02" w:rsidR="005A41D6" w:rsidRPr="00F16AE8" w:rsidRDefault="00AF1752" w:rsidP="00CE77E2">
      <w:pPr>
        <w:rPr>
          <w:b/>
        </w:rPr>
      </w:pPr>
      <w:r w:rsidRPr="00F16AE8">
        <w:rPr>
          <w:b/>
        </w:rPr>
        <w:t>Proposal</w:t>
      </w:r>
      <w:r w:rsidR="00560E80">
        <w:rPr>
          <w:b/>
        </w:rPr>
        <w:t xml:space="preserve"> #3</w:t>
      </w:r>
      <w:r w:rsidRPr="00F16AE8">
        <w:rPr>
          <w:b/>
        </w:rPr>
        <w:t>: Inform RAN3 should about RAN2 decision.</w:t>
      </w:r>
    </w:p>
    <w:p w14:paraId="4B7FEBD4" w14:textId="77777777" w:rsidR="00AF1752" w:rsidRDefault="00F16AE8" w:rsidP="00F16AE8">
      <w:pPr>
        <w:pStyle w:val="Heading1"/>
      </w:pPr>
      <w:r>
        <w:t>Summary and proposals</w:t>
      </w:r>
    </w:p>
    <w:p w14:paraId="4B7FEBD5" w14:textId="3558D5EE" w:rsidR="00F16AE8" w:rsidRDefault="00560E80" w:rsidP="00F16AE8">
      <w:r>
        <w:t>This document discussed how to handle the QoS Flow and DRB set up with 5G QoS.  QoS Flow and DRB in the SCG is discussed in more detail as this is new compared to flows already captured for MN initiated DRBs set ups.  The following proposals were made:</w:t>
      </w:r>
    </w:p>
    <w:p w14:paraId="0DAFD135" w14:textId="77777777" w:rsidR="00560E80" w:rsidRPr="00B015A9" w:rsidRDefault="00560E80" w:rsidP="00560E80">
      <w:pPr>
        <w:rPr>
          <w:b/>
        </w:rPr>
      </w:pPr>
      <w:r w:rsidRPr="00E2313B">
        <w:rPr>
          <w:b/>
        </w:rPr>
        <w:t>Proposal</w:t>
      </w:r>
      <w:r>
        <w:rPr>
          <w:b/>
        </w:rPr>
        <w:t xml:space="preserve"> #1</w:t>
      </w:r>
      <w:r w:rsidRPr="00E2313B">
        <w:rPr>
          <w:b/>
        </w:rPr>
        <w:t xml:space="preserve">: MN decides whether a QoS Flow is handed as SCG/SCG split bearer.  SN decides whether to use a new DRB and whether </w:t>
      </w:r>
      <w:r>
        <w:rPr>
          <w:b/>
        </w:rPr>
        <w:t xml:space="preserve">the new DRB is a split DRB or SCG DRB.  SN also decides whether </w:t>
      </w:r>
      <w:r w:rsidRPr="00E2313B">
        <w:rPr>
          <w:b/>
        </w:rPr>
        <w:t>to use AS explicit signalling or AS reflective mapping.</w:t>
      </w:r>
    </w:p>
    <w:p w14:paraId="2CF9A31D" w14:textId="77777777" w:rsidR="00560E80" w:rsidRPr="00C455E8" w:rsidRDefault="00560E80" w:rsidP="00560E80">
      <w:pPr>
        <w:rPr>
          <w:b/>
        </w:rPr>
      </w:pPr>
      <w:r w:rsidRPr="00C455E8">
        <w:rPr>
          <w:b/>
        </w:rPr>
        <w:t>Proposal</w:t>
      </w:r>
      <w:r>
        <w:rPr>
          <w:b/>
        </w:rPr>
        <w:t xml:space="preserve"> #2</w:t>
      </w:r>
      <w:r w:rsidRPr="00C455E8">
        <w:rPr>
          <w:b/>
        </w:rPr>
        <w:t>: RRC reconfiguration message structure (and UE) should be transparent to which node initiated the DRB</w:t>
      </w:r>
      <w:r>
        <w:rPr>
          <w:b/>
        </w:rPr>
        <w:t xml:space="preserve"> setup for the split/SCG DRB</w:t>
      </w:r>
      <w:r w:rsidRPr="00C455E8">
        <w:rPr>
          <w:b/>
        </w:rPr>
        <w:t>.</w:t>
      </w:r>
    </w:p>
    <w:p w14:paraId="7FF36699" w14:textId="77777777" w:rsidR="00560E80" w:rsidRPr="00F16AE8" w:rsidRDefault="00560E80" w:rsidP="00560E80">
      <w:pPr>
        <w:rPr>
          <w:b/>
        </w:rPr>
      </w:pPr>
      <w:r w:rsidRPr="00F16AE8">
        <w:rPr>
          <w:b/>
        </w:rPr>
        <w:t>Proposal</w:t>
      </w:r>
      <w:r>
        <w:rPr>
          <w:b/>
        </w:rPr>
        <w:t xml:space="preserve"> #3</w:t>
      </w:r>
      <w:r w:rsidRPr="00F16AE8">
        <w:rPr>
          <w:b/>
        </w:rPr>
        <w:t>: Inform RAN3 should about RAN2 decision.</w:t>
      </w:r>
    </w:p>
    <w:p w14:paraId="4B7FEBD8" w14:textId="77777777" w:rsidR="00F16AE8" w:rsidRPr="00CE77E2" w:rsidRDefault="00F16AE8" w:rsidP="00CE77E2"/>
    <w:sectPr w:rsidR="00F16AE8" w:rsidRPr="00CE77E2">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166F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A0A72E7"/>
    <w:multiLevelType w:val="hybridMultilevel"/>
    <w:tmpl w:val="99C81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2742F6D"/>
    <w:multiLevelType w:val="hybridMultilevel"/>
    <w:tmpl w:val="C8527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revisionView w:markup="0"/>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9C4"/>
    <w:rsid w:val="000020E4"/>
    <w:rsid w:val="0000259F"/>
    <w:rsid w:val="000052F6"/>
    <w:rsid w:val="00005E74"/>
    <w:rsid w:val="000122EF"/>
    <w:rsid w:val="00014DB9"/>
    <w:rsid w:val="00014EAC"/>
    <w:rsid w:val="0001633D"/>
    <w:rsid w:val="00016643"/>
    <w:rsid w:val="00017ADD"/>
    <w:rsid w:val="000209BD"/>
    <w:rsid w:val="0002567C"/>
    <w:rsid w:val="000260C4"/>
    <w:rsid w:val="0002687E"/>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67DEF"/>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5BB0"/>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178"/>
    <w:rsid w:val="001213C0"/>
    <w:rsid w:val="00122CA0"/>
    <w:rsid w:val="0012303A"/>
    <w:rsid w:val="00124DAB"/>
    <w:rsid w:val="00125AD2"/>
    <w:rsid w:val="001262C5"/>
    <w:rsid w:val="00126930"/>
    <w:rsid w:val="001272E8"/>
    <w:rsid w:val="00127538"/>
    <w:rsid w:val="001301D0"/>
    <w:rsid w:val="0013107C"/>
    <w:rsid w:val="00131C23"/>
    <w:rsid w:val="00133E38"/>
    <w:rsid w:val="0013435E"/>
    <w:rsid w:val="00134CB8"/>
    <w:rsid w:val="001366EF"/>
    <w:rsid w:val="00141B91"/>
    <w:rsid w:val="00142378"/>
    <w:rsid w:val="00143023"/>
    <w:rsid w:val="00143410"/>
    <w:rsid w:val="00143EDE"/>
    <w:rsid w:val="0014534A"/>
    <w:rsid w:val="001456C1"/>
    <w:rsid w:val="0014630F"/>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3BE"/>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9C4"/>
    <w:rsid w:val="001C6CEB"/>
    <w:rsid w:val="001C6F55"/>
    <w:rsid w:val="001D1718"/>
    <w:rsid w:val="001D1C57"/>
    <w:rsid w:val="001D2345"/>
    <w:rsid w:val="001D24BC"/>
    <w:rsid w:val="001D25F9"/>
    <w:rsid w:val="001D33A9"/>
    <w:rsid w:val="001D3C86"/>
    <w:rsid w:val="001D582D"/>
    <w:rsid w:val="001D5B46"/>
    <w:rsid w:val="001D72BF"/>
    <w:rsid w:val="001D7312"/>
    <w:rsid w:val="001E21D2"/>
    <w:rsid w:val="001E662C"/>
    <w:rsid w:val="001E6B62"/>
    <w:rsid w:val="001E772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674FF"/>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A0A"/>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5E9"/>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091"/>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0DD3"/>
    <w:rsid w:val="00531E45"/>
    <w:rsid w:val="00532DDF"/>
    <w:rsid w:val="0053317E"/>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0E80"/>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9748A"/>
    <w:rsid w:val="005A1241"/>
    <w:rsid w:val="005A1A58"/>
    <w:rsid w:val="005A2536"/>
    <w:rsid w:val="005A41D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3275"/>
    <w:rsid w:val="00674043"/>
    <w:rsid w:val="0067661D"/>
    <w:rsid w:val="00676E37"/>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353C"/>
    <w:rsid w:val="006F4569"/>
    <w:rsid w:val="006F4590"/>
    <w:rsid w:val="006F714C"/>
    <w:rsid w:val="006F773E"/>
    <w:rsid w:val="0070184D"/>
    <w:rsid w:val="0070372E"/>
    <w:rsid w:val="00703D3A"/>
    <w:rsid w:val="00703E6E"/>
    <w:rsid w:val="00704556"/>
    <w:rsid w:val="00711251"/>
    <w:rsid w:val="00711BF7"/>
    <w:rsid w:val="007143DD"/>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A5F"/>
    <w:rsid w:val="0079473D"/>
    <w:rsid w:val="007948F5"/>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6C43"/>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5"/>
    <w:rsid w:val="008754FE"/>
    <w:rsid w:val="008756F0"/>
    <w:rsid w:val="008757F3"/>
    <w:rsid w:val="00877885"/>
    <w:rsid w:val="00884405"/>
    <w:rsid w:val="00884C69"/>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1DAA"/>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CB2"/>
    <w:rsid w:val="00AA3D38"/>
    <w:rsid w:val="00AA5338"/>
    <w:rsid w:val="00AA58A5"/>
    <w:rsid w:val="00AA7E2C"/>
    <w:rsid w:val="00AB187E"/>
    <w:rsid w:val="00AB1AFD"/>
    <w:rsid w:val="00AB1CA7"/>
    <w:rsid w:val="00AB4834"/>
    <w:rsid w:val="00AB5DAD"/>
    <w:rsid w:val="00AB5FA1"/>
    <w:rsid w:val="00AB74C5"/>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752"/>
    <w:rsid w:val="00AF1BFD"/>
    <w:rsid w:val="00AF218A"/>
    <w:rsid w:val="00AF4011"/>
    <w:rsid w:val="00AF4A7B"/>
    <w:rsid w:val="00AF6D55"/>
    <w:rsid w:val="00AF75FD"/>
    <w:rsid w:val="00B015A9"/>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5B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3D74"/>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26130"/>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5E8"/>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7E2"/>
    <w:rsid w:val="00CE7F87"/>
    <w:rsid w:val="00CF0BEB"/>
    <w:rsid w:val="00CF29CC"/>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D12"/>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313B"/>
    <w:rsid w:val="00E24D86"/>
    <w:rsid w:val="00E2517A"/>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0D3"/>
    <w:rsid w:val="00EF2AA6"/>
    <w:rsid w:val="00EF2D25"/>
    <w:rsid w:val="00EF49C7"/>
    <w:rsid w:val="00EF6B2A"/>
    <w:rsid w:val="00EF7F3A"/>
    <w:rsid w:val="00F00187"/>
    <w:rsid w:val="00F00311"/>
    <w:rsid w:val="00F0084E"/>
    <w:rsid w:val="00F00F77"/>
    <w:rsid w:val="00F01897"/>
    <w:rsid w:val="00F03696"/>
    <w:rsid w:val="00F03810"/>
    <w:rsid w:val="00F03FA4"/>
    <w:rsid w:val="00F048C4"/>
    <w:rsid w:val="00F049D9"/>
    <w:rsid w:val="00F0738B"/>
    <w:rsid w:val="00F1036D"/>
    <w:rsid w:val="00F103AC"/>
    <w:rsid w:val="00F10B30"/>
    <w:rsid w:val="00F114BB"/>
    <w:rsid w:val="00F1185C"/>
    <w:rsid w:val="00F12B31"/>
    <w:rsid w:val="00F134E4"/>
    <w:rsid w:val="00F15AE1"/>
    <w:rsid w:val="00F16AE8"/>
    <w:rsid w:val="00F21C06"/>
    <w:rsid w:val="00F22DD1"/>
    <w:rsid w:val="00F23449"/>
    <w:rsid w:val="00F2351B"/>
    <w:rsid w:val="00F2398B"/>
    <w:rsid w:val="00F23E64"/>
    <w:rsid w:val="00F25AE1"/>
    <w:rsid w:val="00F25F74"/>
    <w:rsid w:val="00F278CE"/>
    <w:rsid w:val="00F30287"/>
    <w:rsid w:val="00F31FD0"/>
    <w:rsid w:val="00F3300B"/>
    <w:rsid w:val="00F335BB"/>
    <w:rsid w:val="00F33B36"/>
    <w:rsid w:val="00F33C88"/>
    <w:rsid w:val="00F34185"/>
    <w:rsid w:val="00F3563D"/>
    <w:rsid w:val="00F35B3C"/>
    <w:rsid w:val="00F36547"/>
    <w:rsid w:val="00F36AE0"/>
    <w:rsid w:val="00F41F1D"/>
    <w:rsid w:val="00F433FB"/>
    <w:rsid w:val="00F4411C"/>
    <w:rsid w:val="00F45F7E"/>
    <w:rsid w:val="00F47BD6"/>
    <w:rsid w:val="00F50B74"/>
    <w:rsid w:val="00F51CCC"/>
    <w:rsid w:val="00F533E7"/>
    <w:rsid w:val="00F53DE4"/>
    <w:rsid w:val="00F53FB2"/>
    <w:rsid w:val="00F540F9"/>
    <w:rsid w:val="00F555E4"/>
    <w:rsid w:val="00F558A2"/>
    <w:rsid w:val="00F562FC"/>
    <w:rsid w:val="00F57A3E"/>
    <w:rsid w:val="00F60B5D"/>
    <w:rsid w:val="00F60ED5"/>
    <w:rsid w:val="00F61396"/>
    <w:rsid w:val="00F62E7D"/>
    <w:rsid w:val="00F63532"/>
    <w:rsid w:val="00F63B57"/>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0F94"/>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34D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FEBB5"/>
  <w15:chartTrackingRefBased/>
  <w15:docId w15:val="{C7EF0DEF-71FD-4FF3-86AD-FB3139039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69C4"/>
  </w:style>
  <w:style w:type="paragraph" w:styleId="Heading1">
    <w:name w:val="heading 1"/>
    <w:basedOn w:val="Normal"/>
    <w:next w:val="Normal"/>
    <w:link w:val="Heading1Char"/>
    <w:uiPriority w:val="9"/>
    <w:qFormat/>
    <w:rsid w:val="001C69C4"/>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1C69C4"/>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C69C4"/>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1C69C4"/>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C69C4"/>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1C69C4"/>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1C69C4"/>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C69C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C69C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9C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1C69C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1C69C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1C69C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1C69C4"/>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1C69C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1C69C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1C69C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C69C4"/>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1C69C4"/>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1C69C4"/>
    <w:rPr>
      <w:rFonts w:ascii="Arial" w:eastAsia="MS Mincho" w:hAnsi="Arial" w:cs="Times New Roman"/>
      <w:b/>
      <w:sz w:val="24"/>
      <w:szCs w:val="24"/>
      <w:lang w:val="de-DE" w:eastAsia="x-none"/>
    </w:rPr>
  </w:style>
  <w:style w:type="table" w:styleId="TableGrid">
    <w:name w:val="Table Grid"/>
    <w:basedOn w:val="TableNormal"/>
    <w:uiPriority w:val="39"/>
    <w:rsid w:val="00EF2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7722"/>
    <w:pPr>
      <w:ind w:left="720"/>
      <w:contextualSpacing/>
    </w:pPr>
  </w:style>
  <w:style w:type="character" w:styleId="CommentReference">
    <w:name w:val="annotation reference"/>
    <w:basedOn w:val="DefaultParagraphFont"/>
    <w:uiPriority w:val="99"/>
    <w:semiHidden/>
    <w:unhideWhenUsed/>
    <w:rsid w:val="009E1DAA"/>
    <w:rPr>
      <w:sz w:val="16"/>
      <w:szCs w:val="16"/>
    </w:rPr>
  </w:style>
  <w:style w:type="paragraph" w:styleId="CommentText">
    <w:name w:val="annotation text"/>
    <w:basedOn w:val="Normal"/>
    <w:link w:val="CommentTextChar"/>
    <w:uiPriority w:val="99"/>
    <w:semiHidden/>
    <w:unhideWhenUsed/>
    <w:rsid w:val="009E1DAA"/>
    <w:pPr>
      <w:spacing w:line="240" w:lineRule="auto"/>
    </w:pPr>
    <w:rPr>
      <w:sz w:val="20"/>
      <w:szCs w:val="20"/>
    </w:rPr>
  </w:style>
  <w:style w:type="character" w:customStyle="1" w:styleId="CommentTextChar">
    <w:name w:val="Comment Text Char"/>
    <w:basedOn w:val="DefaultParagraphFont"/>
    <w:link w:val="CommentText"/>
    <w:uiPriority w:val="99"/>
    <w:semiHidden/>
    <w:rsid w:val="009E1DAA"/>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E1DAA"/>
    <w:rPr>
      <w:b/>
      <w:bCs/>
    </w:rPr>
  </w:style>
  <w:style w:type="character" w:customStyle="1" w:styleId="CommentSubjectChar">
    <w:name w:val="Comment Subject Char"/>
    <w:basedOn w:val="CommentTextChar"/>
    <w:link w:val="CommentSubject"/>
    <w:uiPriority w:val="99"/>
    <w:semiHidden/>
    <w:rsid w:val="009E1DAA"/>
    <w:rPr>
      <w:rFonts w:eastAsiaTheme="minorEastAsia"/>
      <w:b/>
      <w:bCs/>
      <w:sz w:val="20"/>
      <w:szCs w:val="20"/>
    </w:rPr>
  </w:style>
  <w:style w:type="paragraph" w:styleId="BalloonText">
    <w:name w:val="Balloon Text"/>
    <w:basedOn w:val="Normal"/>
    <w:link w:val="BalloonTextChar"/>
    <w:uiPriority w:val="99"/>
    <w:semiHidden/>
    <w:unhideWhenUsed/>
    <w:rsid w:val="009E1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1DAA"/>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Palat, Sudeep K</DisplayName>
        <AccountId>3076</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652E99-1884-4AA4-9627-36B5D8A796A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D9DAFB6-C60F-4B77-9161-D3FE1F738C66}">
  <ds:schemaRefs>
    <ds:schemaRef ds:uri="http://schemas.microsoft.com/sharepoint/v3/contenttype/forms"/>
  </ds:schemaRefs>
</ds:datastoreItem>
</file>

<file path=customXml/itemProps3.xml><?xml version="1.0" encoding="utf-8"?>
<ds:datastoreItem xmlns:ds="http://schemas.openxmlformats.org/officeDocument/2006/customXml" ds:itemID="{9C3FFFB7-D30F-4455-B007-F2D5258BB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2</cp:revision>
  <dcterms:created xsi:type="dcterms:W3CDTF">2017-06-17T01:34:00Z</dcterms:created>
  <dcterms:modified xsi:type="dcterms:W3CDTF">2017-06-17T01:34:00Z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b7f10326-6937-4297-82da-f45add4784c0</vt:lpwstr>
  </property>
  <property fmtid="{D5CDD505-2E9C-101B-9397-08002B2CF9AE}" pid="4" name="CTP_BU">
    <vt:lpwstr>NEXT GEN AND STANDARDS GROUP</vt:lpwstr>
  </property>
  <property fmtid="{D5CDD505-2E9C-101B-9397-08002B2CF9AE}" pid="5" name="CTP_TimeStamp">
    <vt:lpwstr>2017-06-14 14:26:11Z</vt:lpwstr>
  </property>
  <property fmtid="{D5CDD505-2E9C-101B-9397-08002B2CF9AE}" pid="6" name="CTPClassification">
    <vt:lpwstr>CTP_IC</vt:lpwstr>
  </property>
</Properties>
</file>