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 xml:space="preserve">[AT121bis-e][509][V2X/SL]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[AT121bis-e][509][V2X/SL]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summary in R2-2304234.</w:t>
      </w:r>
    </w:p>
    <w:p w14:paraId="0053FA39" w14:textId="77777777" w:rsidR="008529FA" w:rsidRDefault="00C45119">
      <w:pPr>
        <w:ind w:left="1608"/>
      </w:pPr>
      <w:r>
        <w:rPr>
          <w:b/>
        </w:rPr>
        <w:t xml:space="preserve">Deadline: </w:t>
      </w:r>
      <w:r>
        <w:rPr>
          <w:rFonts w:ascii="Arial" w:eastAsia="MS Mincho" w:hAnsi="Arial"/>
          <w:szCs w:val="24"/>
          <w:lang w:eastAsia="en-GB"/>
        </w:rPr>
        <w:t>Comeback at 4/25 CB session</w:t>
      </w:r>
    </w:p>
    <w:p w14:paraId="30B2FDFA" w14:textId="77777777" w:rsidR="008529FA" w:rsidRDefault="00C45119">
      <w:pPr>
        <w:pStyle w:val="1"/>
        <w:numPr>
          <w:ilvl w:val="0"/>
          <w:numId w:val="2"/>
        </w:numPr>
        <w:jc w:val="both"/>
      </w:pPr>
      <w:r>
        <w:lastRenderedPageBreak/>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0C70727" w:rsidR="008529FA" w:rsidRDefault="00AD7DC6">
            <w:pPr>
              <w:pStyle w:val="TAC"/>
              <w:spacing w:before="60" w:after="60"/>
              <w:ind w:left="57" w:right="57"/>
              <w:jc w:val="left"/>
              <w:rPr>
                <w:rFonts w:cs="Arial"/>
                <w:sz w:val="20"/>
                <w:szCs w:val="21"/>
                <w:lang w:eastAsia="zh-CN"/>
              </w:rPr>
            </w:pPr>
            <w:hyperlink r:id="rId13" w:history="1">
              <w:r w:rsidR="00566BAC" w:rsidRPr="004B4E53">
                <w:rPr>
                  <w:rStyle w:val="af3"/>
                  <w:rFonts w:cs="Arial"/>
                  <w:sz w:val="20"/>
                  <w:szCs w:val="21"/>
                  <w:lang w:eastAsia="zh-CN"/>
                </w:rPr>
                <w:t>liangjing@vivo.com</w:t>
              </w:r>
            </w:hyperlink>
          </w:p>
        </w:tc>
      </w:tr>
      <w:tr w:rsidR="00566BAC" w14:paraId="065CB5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0EB9F" w14:textId="1F0B81D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5CC04BB" w14:textId="4549DDB4"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0EDE6F33" w14:textId="3D65914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Jakob.buthler@nokia.com</w:t>
            </w:r>
          </w:p>
        </w:tc>
      </w:tr>
      <w:tr w:rsidR="0042343E" w14:paraId="56456E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F4C74" w14:textId="686C36F6"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874DA28" w14:textId="4193256D"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Qing Li</w:t>
            </w:r>
          </w:p>
        </w:tc>
        <w:tc>
          <w:tcPr>
            <w:tcW w:w="4391" w:type="dxa"/>
            <w:tcBorders>
              <w:top w:val="single" w:sz="4" w:space="0" w:color="auto"/>
              <w:left w:val="single" w:sz="4" w:space="0" w:color="auto"/>
              <w:bottom w:val="single" w:sz="4" w:space="0" w:color="auto"/>
              <w:right w:val="single" w:sz="4" w:space="0" w:color="auto"/>
            </w:tcBorders>
          </w:tcPr>
          <w:p w14:paraId="55E1E61B" w14:textId="3F5C45DE" w:rsidR="0042343E" w:rsidRPr="0042343E" w:rsidRDefault="00AD7DC6" w:rsidP="0042343E">
            <w:pPr>
              <w:pStyle w:val="TAC"/>
              <w:spacing w:before="60" w:after="60"/>
              <w:ind w:left="57" w:right="57"/>
              <w:jc w:val="left"/>
              <w:rPr>
                <w:rFonts w:cs="Arial"/>
                <w:sz w:val="20"/>
                <w:szCs w:val="21"/>
                <w:lang w:val="en-US" w:eastAsia="zh-CN"/>
              </w:rPr>
            </w:pPr>
            <w:hyperlink r:id="rId14" w:history="1">
              <w:r w:rsidR="0042343E" w:rsidRPr="00414B9C">
                <w:rPr>
                  <w:rStyle w:val="af3"/>
                  <w:rFonts w:cs="Arial"/>
                  <w:sz w:val="20"/>
                  <w:szCs w:val="21"/>
                  <w:lang w:val="en-US" w:eastAsia="zh-CN"/>
                </w:rPr>
                <w:t>qinli@qti.qualcomm.com</w:t>
              </w:r>
            </w:hyperlink>
          </w:p>
        </w:tc>
      </w:tr>
      <w:tr w:rsidR="00332D16" w14:paraId="00547D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C23BF" w14:textId="25AA4092"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DF429EF" w14:textId="4C730691"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Martino Freda</w:t>
            </w:r>
          </w:p>
        </w:tc>
        <w:tc>
          <w:tcPr>
            <w:tcW w:w="4391" w:type="dxa"/>
            <w:tcBorders>
              <w:top w:val="single" w:sz="4" w:space="0" w:color="auto"/>
              <w:left w:val="single" w:sz="4" w:space="0" w:color="auto"/>
              <w:bottom w:val="single" w:sz="4" w:space="0" w:color="auto"/>
              <w:right w:val="single" w:sz="4" w:space="0" w:color="auto"/>
            </w:tcBorders>
          </w:tcPr>
          <w:p w14:paraId="6AF97D9A" w14:textId="4FD394BD" w:rsidR="00332D16" w:rsidRDefault="00332D16" w:rsidP="0042343E">
            <w:pPr>
              <w:pStyle w:val="TAC"/>
              <w:spacing w:before="60" w:after="60"/>
              <w:ind w:left="57" w:right="57"/>
              <w:jc w:val="left"/>
            </w:pPr>
            <w:r>
              <w:t>martino.freda@interdigital.com</w:t>
            </w:r>
          </w:p>
        </w:tc>
      </w:tr>
      <w:tr w:rsidR="00845472" w14:paraId="7B445A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25180" w14:textId="0B48B744" w:rsidR="00845472" w:rsidRDefault="00845472">
            <w:pPr>
              <w:pStyle w:val="TAC"/>
              <w:spacing w:before="60" w:after="60"/>
              <w:ind w:left="57" w:right="57"/>
              <w:jc w:val="left"/>
              <w:rPr>
                <w:rFonts w:cs="Arial"/>
                <w:sz w:val="20"/>
                <w:szCs w:val="21"/>
                <w:lang w:val="en-US" w:eastAsia="zh-CN"/>
              </w:rPr>
            </w:pPr>
            <w:r>
              <w:rPr>
                <w:rFonts w:cs="Arial"/>
                <w:sz w:val="20"/>
                <w:szCs w:val="21"/>
                <w:lang w:val="en-US" w:eastAsia="zh-CN"/>
              </w:rPr>
              <w:t>NEC</w:t>
            </w:r>
          </w:p>
        </w:tc>
        <w:tc>
          <w:tcPr>
            <w:tcW w:w="3118" w:type="dxa"/>
            <w:tcBorders>
              <w:top w:val="single" w:sz="4" w:space="0" w:color="auto"/>
              <w:left w:val="single" w:sz="4" w:space="0" w:color="auto"/>
              <w:bottom w:val="single" w:sz="4" w:space="0" w:color="auto"/>
              <w:right w:val="single" w:sz="4" w:space="0" w:color="auto"/>
            </w:tcBorders>
          </w:tcPr>
          <w:p w14:paraId="5B7D4768" w14:textId="01B8962A" w:rsidR="00845472" w:rsidRPr="00845472" w:rsidRDefault="00845472">
            <w:pPr>
              <w:pStyle w:val="TAC"/>
              <w:spacing w:before="60" w:after="60"/>
              <w:ind w:left="57" w:right="57"/>
              <w:jc w:val="left"/>
              <w:rPr>
                <w:rFonts w:eastAsia="MS Mincho" w:cs="Arial"/>
                <w:sz w:val="20"/>
                <w:szCs w:val="21"/>
                <w:lang w:val="en-US" w:eastAsia="ja-JP"/>
              </w:rPr>
            </w:pPr>
            <w:r>
              <w:rPr>
                <w:rFonts w:eastAsia="MS Mincho" w:cs="Arial" w:hint="eastAsia"/>
                <w:sz w:val="20"/>
                <w:szCs w:val="21"/>
                <w:lang w:val="en-US" w:eastAsia="ja-JP"/>
              </w:rPr>
              <w:t>S</w:t>
            </w:r>
            <w:r>
              <w:rPr>
                <w:rFonts w:eastAsia="MS Mincho" w:cs="Arial"/>
                <w:sz w:val="20"/>
                <w:szCs w:val="21"/>
                <w:lang w:val="en-US" w:eastAsia="ja-JP"/>
              </w:rPr>
              <w:t>atoaki Hayashi</w:t>
            </w:r>
          </w:p>
        </w:tc>
        <w:tc>
          <w:tcPr>
            <w:tcW w:w="4391" w:type="dxa"/>
            <w:tcBorders>
              <w:top w:val="single" w:sz="4" w:space="0" w:color="auto"/>
              <w:left w:val="single" w:sz="4" w:space="0" w:color="auto"/>
              <w:bottom w:val="single" w:sz="4" w:space="0" w:color="auto"/>
              <w:right w:val="single" w:sz="4" w:space="0" w:color="auto"/>
            </w:tcBorders>
          </w:tcPr>
          <w:p w14:paraId="70294B8D" w14:textId="551AD01B" w:rsidR="00845472" w:rsidRPr="00845472" w:rsidRDefault="00845472" w:rsidP="0042343E">
            <w:pPr>
              <w:pStyle w:val="TAC"/>
              <w:spacing w:before="60" w:after="60"/>
              <w:ind w:left="57" w:right="57"/>
              <w:jc w:val="left"/>
              <w:rPr>
                <w:rFonts w:eastAsia="MS Mincho"/>
                <w:lang w:eastAsia="ja-JP"/>
              </w:rPr>
            </w:pPr>
            <w:r>
              <w:rPr>
                <w:rFonts w:eastAsia="MS Mincho"/>
                <w:lang w:eastAsia="ja-JP"/>
              </w:rPr>
              <w:t>Satoaki-hayashi@nec.com</w:t>
            </w:r>
          </w:p>
        </w:tc>
      </w:tr>
      <w:tr w:rsidR="004F7399" w14:paraId="2C3106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C4850" w14:textId="6C746823" w:rsidR="004F7399" w:rsidRDefault="004F7399">
            <w:pPr>
              <w:pStyle w:val="TAC"/>
              <w:spacing w:before="60" w:after="60"/>
              <w:ind w:left="57" w:right="57"/>
              <w:jc w:val="left"/>
              <w:rPr>
                <w:rFonts w:cs="Arial"/>
                <w:sz w:val="20"/>
                <w:szCs w:val="21"/>
                <w:lang w:val="en-US" w:eastAsia="zh-CN"/>
              </w:rPr>
            </w:pPr>
            <w:r>
              <w:rPr>
                <w:rFonts w:cs="Arial"/>
                <w:sz w:val="20"/>
                <w:szCs w:val="21"/>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C3EED4B" w14:textId="022D207D" w:rsidR="004F7399" w:rsidRDefault="004F7399">
            <w:pPr>
              <w:pStyle w:val="TAC"/>
              <w:spacing w:before="60" w:after="60"/>
              <w:ind w:left="57" w:right="57"/>
              <w:jc w:val="left"/>
              <w:rPr>
                <w:rFonts w:eastAsia="MS Mincho" w:cs="Arial"/>
                <w:sz w:val="20"/>
                <w:szCs w:val="21"/>
                <w:lang w:val="en-US" w:eastAsia="ja-JP"/>
              </w:rPr>
            </w:pPr>
            <w:r>
              <w:rPr>
                <w:rFonts w:eastAsia="MS Mincho" w:cs="Arial"/>
                <w:sz w:val="20"/>
                <w:szCs w:val="21"/>
                <w:lang w:val="en-US" w:eastAsia="ja-JP"/>
              </w:rPr>
              <w:t>Ming-Yuan Cheng</w:t>
            </w:r>
          </w:p>
        </w:tc>
        <w:tc>
          <w:tcPr>
            <w:tcW w:w="4391" w:type="dxa"/>
            <w:tcBorders>
              <w:top w:val="single" w:sz="4" w:space="0" w:color="auto"/>
              <w:left w:val="single" w:sz="4" w:space="0" w:color="auto"/>
              <w:bottom w:val="single" w:sz="4" w:space="0" w:color="auto"/>
              <w:right w:val="single" w:sz="4" w:space="0" w:color="auto"/>
            </w:tcBorders>
          </w:tcPr>
          <w:p w14:paraId="252233FC" w14:textId="7B7CCCFF" w:rsidR="004F7399" w:rsidRDefault="0030614E" w:rsidP="0042343E">
            <w:pPr>
              <w:pStyle w:val="TAC"/>
              <w:spacing w:before="60" w:after="60"/>
              <w:ind w:left="57" w:right="57"/>
              <w:jc w:val="left"/>
              <w:rPr>
                <w:rFonts w:eastAsia="MS Mincho"/>
                <w:lang w:eastAsia="ja-JP"/>
              </w:rPr>
            </w:pPr>
            <w:hyperlink r:id="rId15" w:history="1">
              <w:r w:rsidRPr="005151E0">
                <w:rPr>
                  <w:rStyle w:val="af3"/>
                  <w:rFonts w:eastAsia="MS Mincho"/>
                  <w:lang w:eastAsia="ja-JP"/>
                </w:rPr>
                <w:t>ming-yuan.cheng@mediatek.com</w:t>
              </w:r>
            </w:hyperlink>
          </w:p>
        </w:tc>
      </w:tr>
      <w:tr w:rsidR="0030614E" w14:paraId="47295E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076298" w14:textId="7F7293C9" w:rsidR="0030614E" w:rsidRPr="0030614E" w:rsidRDefault="0030614E">
            <w:pPr>
              <w:pStyle w:val="TAC"/>
              <w:spacing w:before="60" w:after="60"/>
              <w:ind w:left="57" w:right="57"/>
              <w:jc w:val="left"/>
              <w:rPr>
                <w:rFonts w:cs="Arial"/>
                <w:sz w:val="20"/>
                <w:szCs w:val="21"/>
                <w:lang w:eastAsia="zh-CN"/>
              </w:rPr>
            </w:pPr>
            <w:r>
              <w:rPr>
                <w:rFonts w:cs="Arial" w:hint="eastAsia"/>
                <w:sz w:val="20"/>
                <w:szCs w:val="21"/>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B5E3E35" w14:textId="39F60496" w:rsidR="0030614E" w:rsidRDefault="0030614E">
            <w:pPr>
              <w:pStyle w:val="TAC"/>
              <w:spacing w:before="60" w:after="60"/>
              <w:ind w:left="57" w:right="57"/>
              <w:jc w:val="left"/>
              <w:rPr>
                <w:rFonts w:eastAsia="MS Mincho" w:cs="Arial"/>
                <w:sz w:val="20"/>
                <w:szCs w:val="21"/>
                <w:lang w:val="en-US" w:eastAsia="ja-JP"/>
              </w:rPr>
            </w:pPr>
            <w:r>
              <w:rPr>
                <w:rFonts w:eastAsia="MS Mincho" w:cs="Arial"/>
                <w:sz w:val="20"/>
                <w:szCs w:val="21"/>
                <w:lang w:val="en-US" w:eastAsia="ja-JP"/>
              </w:rPr>
              <w:t>Xing Liu</w:t>
            </w:r>
          </w:p>
        </w:tc>
        <w:tc>
          <w:tcPr>
            <w:tcW w:w="4391" w:type="dxa"/>
            <w:tcBorders>
              <w:top w:val="single" w:sz="4" w:space="0" w:color="auto"/>
              <w:left w:val="single" w:sz="4" w:space="0" w:color="auto"/>
              <w:bottom w:val="single" w:sz="4" w:space="0" w:color="auto"/>
              <w:right w:val="single" w:sz="4" w:space="0" w:color="auto"/>
            </w:tcBorders>
          </w:tcPr>
          <w:p w14:paraId="39853AB1" w14:textId="1DD2A31F" w:rsidR="0030614E" w:rsidRPr="0030614E" w:rsidRDefault="0030614E" w:rsidP="0042343E">
            <w:pPr>
              <w:pStyle w:val="TAC"/>
              <w:spacing w:before="60" w:after="60"/>
              <w:ind w:left="57" w:right="57"/>
              <w:jc w:val="left"/>
              <w:rPr>
                <w:rFonts w:hint="eastAsia"/>
                <w:lang w:eastAsia="zh-CN"/>
              </w:rPr>
            </w:pPr>
            <w:r>
              <w:rPr>
                <w:lang w:eastAsia="zh-CN"/>
              </w:rPr>
              <w:t>xing.liu1@unisoc.com</w:t>
            </w:r>
          </w:p>
        </w:tc>
      </w:tr>
    </w:tbl>
    <w:p w14:paraId="7D432100" w14:textId="77777777" w:rsidR="008529FA" w:rsidRDefault="008529FA"/>
    <w:p w14:paraId="1355E9F3" w14:textId="77777777" w:rsidR="008529FA" w:rsidRDefault="00C45119">
      <w:pPr>
        <w:pStyle w:val="1"/>
      </w:pPr>
      <w:r>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af1"/>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lastRenderedPageBreak/>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lastRenderedPageBreak/>
        <w:t>While proposal 3 in R2-2303587 propose to not have the assistance information due to the following drawbacks.</w:t>
      </w:r>
    </w:p>
    <w:tbl>
      <w:tblPr>
        <w:tblStyle w:val="af1"/>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-The cost of LBT type 1 or 2 and transmission of UE assistence info is higher than sharing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Most spec impact.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uestion: Do you want to support the assistance information for COT sharing to assit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Option 1: Yes;</w:t>
      </w:r>
    </w:p>
    <w:p w14:paraId="15499335" w14:textId="77777777" w:rsidR="008529FA" w:rsidRDefault="00C45119">
      <w:pPr>
        <w:rPr>
          <w:rFonts w:ascii="Arial" w:hAnsi="Arial" w:cs="Arial"/>
          <w:b/>
          <w:bCs/>
        </w:rPr>
      </w:pPr>
      <w:r>
        <w:rPr>
          <w:rFonts w:ascii="Arial" w:hAnsi="Arial" w:cs="Arial"/>
          <w:b/>
          <w:bCs/>
        </w:rPr>
        <w:t>Option 2: No;</w:t>
      </w:r>
    </w:p>
    <w:p w14:paraId="42A11446" w14:textId="77777777" w:rsidR="008529FA" w:rsidRDefault="00C45119">
      <w:pPr>
        <w:rPr>
          <w:rFonts w:ascii="Arial" w:hAnsi="Arial" w:cs="Arial"/>
          <w:b/>
          <w:bCs/>
        </w:rPr>
      </w:pPr>
      <w:r>
        <w:rPr>
          <w:rFonts w:ascii="Arial" w:hAnsi="Arial" w:cs="Arial"/>
          <w:b/>
          <w:bCs/>
        </w:rPr>
        <w:t>Option 3: Wait for more conclusion from RAN1;</w:t>
      </w:r>
    </w:p>
    <w:p w14:paraId="389387DD" w14:textId="77777777" w:rsidR="008529FA" w:rsidRDefault="00C45119">
      <w:pPr>
        <w:rPr>
          <w:rFonts w:ascii="Arial" w:hAnsi="Arial" w:cs="Arial"/>
          <w:b/>
          <w:bCs/>
        </w:rPr>
      </w:pPr>
      <w:r>
        <w:rPr>
          <w:rFonts w:ascii="Arial" w:hAnsi="Arial" w:cs="Arial"/>
          <w:b/>
          <w:bCs/>
        </w:rPr>
        <w:t>Option 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a8"/>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taken into account is unclear.</w:t>
            </w:r>
          </w:p>
          <w:p w14:paraId="32FC2543" w14:textId="77777777" w:rsidR="008529FA" w:rsidRDefault="00C45119">
            <w:pPr>
              <w:pStyle w:val="a8"/>
              <w:rPr>
                <w:lang w:val="en-GB" w:eastAsia="zh-CN"/>
              </w:rPr>
            </w:pPr>
            <w:r>
              <w:rPr>
                <w:rFonts w:hint="eastAsia"/>
                <w:lang w:val="en-GB" w:eastAsia="zh-CN"/>
              </w:rPr>
              <w:t>For SL UC, the assistance information can work. But the gain is not benefit the specification effort, e.g., when to trigger the assistance information transmission, what should be contained in the assistance information and etc.</w:t>
            </w:r>
          </w:p>
          <w:p w14:paraId="0E2E3CAE" w14:textId="77777777" w:rsidR="008529FA" w:rsidRDefault="00C45119">
            <w:pPr>
              <w:pStyle w:val="a8"/>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We doubt the benefit of this assistance information since there maybe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Agree with xiaomi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We think it is related to RAN1 design on how to genetate COT sharing info (i.e.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uawei, HiSilicon</w:t>
            </w:r>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would be non-ideal if we introduce duplicated functionality as RAN1. Also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So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i</w:t>
            </w:r>
            <w:r>
              <w:rPr>
                <w:lang w:eastAsia="en-GB"/>
              </w:rPr>
              <w:t>ndicat</w:t>
            </w:r>
            <w:r>
              <w:rPr>
                <w:rFonts w:hint="eastAsia"/>
                <w:lang w:val="en-US" w:eastAsia="zh-CN"/>
              </w:rPr>
              <w:t>e</w:t>
            </w:r>
            <w:r>
              <w:rPr>
                <w:lang w:eastAsia="en-GB"/>
              </w:rPr>
              <w:t xml:space="preserve"> the estimated traffic data arrival characteristic of sidelink logical channel(s)</w:t>
            </w:r>
            <w:r>
              <w:rPr>
                <w:rFonts w:hint="eastAsia"/>
                <w:lang w:val="en-US" w:eastAsia="zh-CN"/>
              </w:rPr>
              <w:t xml:space="preserve"> just like UEassistantinformation does,  so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e.g. similar to the CSI request functionality, in order to decide the destination of the COT sharing indication. Otherwise for simplicity, using PC5-RRC assistance information to indicate a semi-static assistance information e.g.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p>
        </w:tc>
      </w:tr>
      <w:tr w:rsidR="00566BAC" w14:paraId="69D24A6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2F8E6C8" w14:textId="73CCE507" w:rsidR="00566BAC" w:rsidRPr="00566BAC" w:rsidRDefault="00566BAC" w:rsidP="008455DE">
            <w:pPr>
              <w:pStyle w:val="TAC"/>
              <w:spacing w:before="60" w:after="60"/>
              <w:ind w:left="57" w:right="57"/>
              <w:jc w:val="both"/>
              <w:rPr>
                <w:rFonts w:cs="Arial"/>
                <w:lang w:eastAsia="zh-CN"/>
              </w:rPr>
            </w:pPr>
            <w:r>
              <w:rPr>
                <w:rFonts w:cs="Arial"/>
                <w:lang w:eastAsia="zh-CN"/>
              </w:rPr>
              <w:t>Nokia</w:t>
            </w:r>
          </w:p>
        </w:tc>
        <w:tc>
          <w:tcPr>
            <w:tcW w:w="1400" w:type="dxa"/>
            <w:tcBorders>
              <w:top w:val="single" w:sz="4" w:space="0" w:color="auto"/>
              <w:left w:val="single" w:sz="4" w:space="0" w:color="auto"/>
              <w:bottom w:val="single" w:sz="4" w:space="0" w:color="auto"/>
              <w:right w:val="single" w:sz="4" w:space="0" w:color="auto"/>
            </w:tcBorders>
          </w:tcPr>
          <w:p w14:paraId="71BA4CC9" w14:textId="3D80FF8D" w:rsidR="00566BAC" w:rsidRPr="00566BAC" w:rsidRDefault="00566BAC" w:rsidP="008455DE">
            <w:pPr>
              <w:pStyle w:val="TAC"/>
              <w:spacing w:before="60" w:after="60"/>
              <w:ind w:right="57"/>
              <w:jc w:val="both"/>
              <w:rPr>
                <w:rFonts w:cs="Arial"/>
                <w:lang w:eastAsia="zh-CN"/>
              </w:rPr>
            </w:pPr>
            <w:r>
              <w:rPr>
                <w:rFonts w:cs="Arial"/>
                <w:lang w:eastAsia="zh-CN"/>
              </w:rPr>
              <w:t>Option 1 or 3</w:t>
            </w:r>
          </w:p>
        </w:tc>
        <w:tc>
          <w:tcPr>
            <w:tcW w:w="7138" w:type="dxa"/>
            <w:tcBorders>
              <w:left w:val="single" w:sz="4" w:space="0" w:color="auto"/>
              <w:right w:val="single" w:sz="4" w:space="0" w:color="auto"/>
            </w:tcBorders>
          </w:tcPr>
          <w:p w14:paraId="78EE838F" w14:textId="77777777" w:rsid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We believe that the assistance information can be useful in a carious set of ways, but can be OK to wait for RAN1 to not work on the same questions in parallel.</w:t>
            </w:r>
          </w:p>
          <w:p w14:paraId="1320BBD3" w14:textId="5F833D03" w:rsidR="00566BAC" w:rsidRP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However, some data has already been discussed in RAN2 to be relevant i.e. CAPC value, and it may be an advantage to send an LS to RAN1 including the parameters RAN2 could see the benefit of, and also inform them that we find it as a RAN1 decision.</w:t>
            </w:r>
          </w:p>
        </w:tc>
      </w:tr>
      <w:tr w:rsidR="0042343E" w14:paraId="40B0EA2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3418754" w14:textId="7295B3EE" w:rsidR="0042343E" w:rsidRPr="0042343E" w:rsidRDefault="0042343E" w:rsidP="008455DE">
            <w:pPr>
              <w:pStyle w:val="TAC"/>
              <w:spacing w:before="60" w:after="60"/>
              <w:ind w:left="57" w:right="57"/>
              <w:jc w:val="both"/>
              <w:rPr>
                <w:rFonts w:cs="Arial"/>
                <w:lang w:val="en-US" w:eastAsia="zh-CN"/>
              </w:rPr>
            </w:pPr>
            <w:r>
              <w:rPr>
                <w:rFonts w:cs="Arial"/>
                <w:lang w:val="en-US" w:eastAsia="zh-CN"/>
              </w:rPr>
              <w:lastRenderedPageBreak/>
              <w:t>Qualcomm</w:t>
            </w:r>
          </w:p>
        </w:tc>
        <w:tc>
          <w:tcPr>
            <w:tcW w:w="1400" w:type="dxa"/>
            <w:tcBorders>
              <w:top w:val="single" w:sz="4" w:space="0" w:color="auto"/>
              <w:left w:val="single" w:sz="4" w:space="0" w:color="auto"/>
              <w:bottom w:val="single" w:sz="4" w:space="0" w:color="auto"/>
              <w:right w:val="single" w:sz="4" w:space="0" w:color="auto"/>
            </w:tcBorders>
          </w:tcPr>
          <w:p w14:paraId="43F17343" w14:textId="7424987C" w:rsidR="0042343E" w:rsidRPr="0042343E" w:rsidRDefault="0042343E" w:rsidP="008455DE">
            <w:pPr>
              <w:pStyle w:val="TAC"/>
              <w:spacing w:before="60" w:after="60"/>
              <w:ind w:right="57"/>
              <w:jc w:val="both"/>
              <w:rPr>
                <w:rFonts w:cs="Arial"/>
                <w:lang w:val="en-US" w:eastAsia="zh-CN"/>
              </w:rPr>
            </w:pPr>
            <w:r>
              <w:rPr>
                <w:rFonts w:cs="Arial"/>
                <w:lang w:val="en-US" w:eastAsia="zh-CN"/>
              </w:rPr>
              <w:t>2</w:t>
            </w:r>
          </w:p>
        </w:tc>
        <w:tc>
          <w:tcPr>
            <w:tcW w:w="7138" w:type="dxa"/>
            <w:tcBorders>
              <w:left w:val="single" w:sz="4" w:space="0" w:color="auto"/>
              <w:right w:val="single" w:sz="4" w:space="0" w:color="auto"/>
            </w:tcBorders>
          </w:tcPr>
          <w:p w14:paraId="56B90178" w14:textId="77777777" w:rsidR="0042343E" w:rsidRPr="00F8229B" w:rsidRDefault="0042343E" w:rsidP="008455DE">
            <w:pPr>
              <w:pStyle w:val="TAC"/>
              <w:spacing w:before="60" w:after="60"/>
              <w:ind w:right="57"/>
              <w:jc w:val="both"/>
              <w:rPr>
                <w:rFonts w:ascii="Times New Roman" w:hAnsi="Times New Roman"/>
                <w:b/>
                <w:bCs/>
                <w:sz w:val="20"/>
                <w:szCs w:val="18"/>
                <w:lang w:val="en-US" w:eastAsia="zh-CN"/>
              </w:rPr>
            </w:pPr>
            <w:r w:rsidRPr="0042343E">
              <w:rPr>
                <w:rFonts w:ascii="Times New Roman" w:hAnsi="Times New Roman"/>
                <w:b/>
                <w:bCs/>
                <w:color w:val="FF0000"/>
                <w:sz w:val="20"/>
                <w:szCs w:val="18"/>
                <w:lang w:val="en-US" w:eastAsia="zh-CN"/>
              </w:rPr>
              <w:t>We observed system performance degradation with UE’s assistance information</w:t>
            </w:r>
            <w:r>
              <w:rPr>
                <w:rFonts w:ascii="Times New Roman" w:hAnsi="Times New Roman"/>
                <w:sz w:val="20"/>
                <w:szCs w:val="18"/>
                <w:lang w:val="en-US" w:eastAsia="zh-CN"/>
              </w:rPr>
              <w:t xml:space="preserve">. </w:t>
            </w:r>
            <w:r w:rsidRPr="00F8229B">
              <w:rPr>
                <w:rFonts w:ascii="Times New Roman" w:hAnsi="Times New Roman"/>
                <w:b/>
                <w:bCs/>
                <w:sz w:val="20"/>
                <w:szCs w:val="18"/>
                <w:lang w:val="en-US" w:eastAsia="zh-CN"/>
              </w:rPr>
              <w:t>The reason is very obvious:</w:t>
            </w:r>
          </w:p>
          <w:p w14:paraId="39981D3A" w14:textId="29482F51"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For a Single Responding UE candidate</w:t>
            </w:r>
            <w:r w:rsidR="00F8229B">
              <w:rPr>
                <w:rFonts w:ascii="Times New Roman" w:hAnsi="Times New Roman"/>
                <w:sz w:val="20"/>
                <w:szCs w:val="18"/>
                <w:lang w:val="en-US" w:eastAsia="zh-CN"/>
              </w:rPr>
              <w:t>:</w:t>
            </w:r>
            <w:r>
              <w:rPr>
                <w:rFonts w:ascii="Times New Roman" w:hAnsi="Times New Roman"/>
                <w:sz w:val="20"/>
                <w:szCs w:val="18"/>
                <w:lang w:val="en-US" w:eastAsia="zh-CN"/>
              </w:rPr>
              <w:t xml:space="preserve"> </w:t>
            </w:r>
          </w:p>
          <w:p w14:paraId="567FEF83" w14:textId="6E387C74"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([An Type 1 or 2 LBT  + an Assistance Info] from UE2 to UE1)  </w:t>
            </w:r>
          </w:p>
          <w:p w14:paraId="7A75BC93" w14:textId="40340CCD"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is larger than</w:t>
            </w:r>
            <w:r w:rsidR="0042343E" w:rsidRPr="00F8229B">
              <w:rPr>
                <w:rFonts w:ascii="Times New Roman" w:hAnsi="Times New Roman"/>
                <w:b/>
                <w:bCs/>
                <w:color w:val="FF0000"/>
                <w:sz w:val="20"/>
                <w:szCs w:val="18"/>
                <w:lang w:val="en-US" w:eastAsia="zh-CN"/>
              </w:rPr>
              <w:t xml:space="preserve"> </w:t>
            </w:r>
          </w:p>
          <w:p w14:paraId="495F0010" w14:textId="266D1F2C" w:rsidR="0042343E"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xml:space="preserve"> : (a possible Type 2 LBT for UE2’s transmission)</w:t>
            </w:r>
          </w:p>
          <w:p w14:paraId="5C92359C" w14:textId="64E9BF39"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 xml:space="preserve">For </w:t>
            </w:r>
            <w:r w:rsidRPr="002167C1">
              <w:rPr>
                <w:rFonts w:ascii="Times New Roman" w:hAnsi="Times New Roman"/>
                <w:i/>
                <w:iCs/>
                <w:sz w:val="20"/>
                <w:szCs w:val="18"/>
                <w:lang w:val="en-US" w:eastAsia="zh-CN"/>
              </w:rPr>
              <w:t>N</w:t>
            </w:r>
            <w:r>
              <w:rPr>
                <w:rFonts w:ascii="Times New Roman" w:hAnsi="Times New Roman"/>
                <w:sz w:val="20"/>
                <w:szCs w:val="18"/>
                <w:lang w:val="en-US" w:eastAsia="zh-CN"/>
              </w:rPr>
              <w:t xml:space="preserve"> Responding UE candidates</w:t>
            </w:r>
            <w:r w:rsidR="00F8229B">
              <w:rPr>
                <w:rFonts w:ascii="Times New Roman" w:hAnsi="Times New Roman"/>
                <w:sz w:val="20"/>
                <w:szCs w:val="18"/>
                <w:lang w:val="en-US" w:eastAsia="zh-CN"/>
              </w:rPr>
              <w:t>:</w:t>
            </w:r>
          </w:p>
          <w:p w14:paraId="71316A86" w14:textId="77777777"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(N * [An Type 1 or 2 LBT  + an Assistance Info] from </w:t>
            </w:r>
            <w:r w:rsidR="0042343E" w:rsidRPr="0042343E">
              <w:rPr>
                <w:rFonts w:ascii="Times New Roman" w:hAnsi="Times New Roman"/>
                <w:i/>
                <w:iCs/>
                <w:sz w:val="20"/>
                <w:szCs w:val="18"/>
                <w:lang w:val="en-US" w:eastAsia="zh-CN"/>
              </w:rPr>
              <w:t>N</w:t>
            </w:r>
            <w:r w:rsidR="0042343E">
              <w:rPr>
                <w:rFonts w:ascii="Times New Roman" w:hAnsi="Times New Roman"/>
                <w:sz w:val="20"/>
                <w:szCs w:val="18"/>
                <w:lang w:val="en-US" w:eastAsia="zh-CN"/>
              </w:rPr>
              <w:t xml:space="preserve"> UEs2 to UE1)  </w:t>
            </w:r>
          </w:p>
          <w:p w14:paraId="014E0535" w14:textId="77777777"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 xml:space="preserve">is even much larger than </w:t>
            </w:r>
          </w:p>
          <w:p w14:paraId="1EC86965" w14:textId="2BC34125" w:rsidR="0042343E" w:rsidRDefault="00F8229B" w:rsidP="00F8229B">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i/>
                <w:iCs/>
                <w:sz w:val="20"/>
                <w:szCs w:val="18"/>
                <w:lang w:val="en-US" w:eastAsia="zh-CN"/>
              </w:rPr>
              <w:t xml:space="preserve"> </w:t>
            </w:r>
            <w:r w:rsidR="0042343E">
              <w:rPr>
                <w:rFonts w:ascii="Times New Roman" w:hAnsi="Times New Roman"/>
                <w:sz w:val="20"/>
                <w:szCs w:val="18"/>
                <w:lang w:val="en-US" w:eastAsia="zh-CN"/>
              </w:rPr>
              <w:t xml:space="preserve"> possible Type 2 LBT for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sz w:val="20"/>
                <w:szCs w:val="18"/>
                <w:lang w:val="en-US" w:eastAsia="zh-CN"/>
              </w:rPr>
              <w:t xml:space="preserve"> </w:t>
            </w:r>
            <w:r w:rsidR="0042343E">
              <w:rPr>
                <w:rFonts w:ascii="Times New Roman" w:hAnsi="Times New Roman"/>
                <w:sz w:val="20"/>
                <w:szCs w:val="18"/>
                <w:lang w:val="en-US" w:eastAsia="zh-CN"/>
              </w:rPr>
              <w:t>UEs2’ transmission</w:t>
            </w:r>
            <w:r w:rsidR="002167C1">
              <w:rPr>
                <w:rFonts w:ascii="Times New Roman" w:hAnsi="Times New Roman"/>
                <w:sz w:val="20"/>
                <w:szCs w:val="18"/>
                <w:lang w:val="en-US" w:eastAsia="zh-CN"/>
              </w:rPr>
              <w:t>s</w:t>
            </w:r>
            <w:r w:rsidR="0042343E">
              <w:rPr>
                <w:rFonts w:ascii="Times New Roman" w:hAnsi="Times New Roman"/>
                <w:sz w:val="20"/>
                <w:szCs w:val="18"/>
                <w:lang w:val="en-US" w:eastAsia="zh-CN"/>
              </w:rPr>
              <w:t>)</w:t>
            </w:r>
            <w:r>
              <w:rPr>
                <w:rFonts w:ascii="Times New Roman" w:hAnsi="Times New Roman"/>
                <w:sz w:val="20"/>
                <w:szCs w:val="18"/>
                <w:lang w:val="en-US" w:eastAsia="zh-CN"/>
              </w:rPr>
              <w:t>.</w:t>
            </w:r>
          </w:p>
          <w:p w14:paraId="7FA74E51" w14:textId="28807A82" w:rsidR="00F8229B" w:rsidRDefault="00F8229B" w:rsidP="00F8229B">
            <w:pPr>
              <w:pStyle w:val="TAC"/>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 xml:space="preserve">Therefore, we don’t support a solution </w:t>
            </w:r>
            <w:r w:rsidR="002167C1">
              <w:rPr>
                <w:rFonts w:ascii="Times New Roman" w:hAnsi="Times New Roman"/>
                <w:b/>
                <w:bCs/>
                <w:sz w:val="20"/>
                <w:szCs w:val="18"/>
                <w:lang w:val="en-US" w:eastAsia="zh-CN"/>
              </w:rPr>
              <w:t>with</w:t>
            </w:r>
          </w:p>
          <w:p w14:paraId="30CBFD51" w14:textId="1894E82C" w:rsidR="00F8229B" w:rsidRDefault="00F8229B" w:rsidP="00F8229B">
            <w:pPr>
              <w:pStyle w:val="TAC"/>
              <w:numPr>
                <w:ilvl w:val="0"/>
                <w:numId w:val="5"/>
              </w:numPr>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negative impact to the system performance</w:t>
            </w:r>
            <w:r w:rsidR="002167C1">
              <w:rPr>
                <w:rFonts w:ascii="Times New Roman" w:hAnsi="Times New Roman"/>
                <w:b/>
                <w:bCs/>
                <w:sz w:val="20"/>
                <w:szCs w:val="18"/>
                <w:lang w:val="en-US" w:eastAsia="zh-CN"/>
              </w:rPr>
              <w:t>, and</w:t>
            </w:r>
          </w:p>
          <w:p w14:paraId="20DFB1B3" w14:textId="62FB20F4" w:rsidR="00F8229B" w:rsidRPr="0042343E" w:rsidRDefault="00F8229B" w:rsidP="00F8229B">
            <w:pPr>
              <w:pStyle w:val="TAC"/>
              <w:numPr>
                <w:ilvl w:val="0"/>
                <w:numId w:val="5"/>
              </w:numPr>
              <w:spacing w:before="60" w:after="60"/>
              <w:ind w:right="57"/>
              <w:jc w:val="both"/>
              <w:rPr>
                <w:rFonts w:ascii="Times New Roman" w:hAnsi="Times New Roman"/>
                <w:sz w:val="20"/>
                <w:szCs w:val="18"/>
                <w:lang w:val="en-US" w:eastAsia="zh-CN"/>
              </w:rPr>
            </w:pPr>
            <w:r>
              <w:rPr>
                <w:rFonts w:ascii="Times New Roman" w:hAnsi="Times New Roman"/>
                <w:b/>
                <w:bCs/>
                <w:sz w:val="20"/>
                <w:szCs w:val="18"/>
                <w:lang w:val="en-US" w:eastAsia="zh-CN"/>
              </w:rPr>
              <w:t>extra work for specification.</w:t>
            </w:r>
          </w:p>
        </w:tc>
      </w:tr>
      <w:tr w:rsidR="00332D16" w14:paraId="04215C4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DB4F74D" w14:textId="3158AC18" w:rsidR="00332D16" w:rsidRDefault="00332D16" w:rsidP="008455DE">
            <w:pPr>
              <w:pStyle w:val="TAC"/>
              <w:spacing w:before="60" w:after="60"/>
              <w:ind w:left="57" w:right="57"/>
              <w:jc w:val="both"/>
              <w:rPr>
                <w:rFonts w:cs="Arial"/>
                <w:lang w:val="en-US" w:eastAsia="zh-CN"/>
              </w:rPr>
            </w:pPr>
            <w:r>
              <w:rPr>
                <w:rFonts w:cs="Arial"/>
                <w:lang w:val="en-US" w:eastAsia="zh-CN"/>
              </w:rPr>
              <w:t>InterDigital</w:t>
            </w:r>
          </w:p>
        </w:tc>
        <w:tc>
          <w:tcPr>
            <w:tcW w:w="1400" w:type="dxa"/>
            <w:tcBorders>
              <w:top w:val="single" w:sz="4" w:space="0" w:color="auto"/>
              <w:left w:val="single" w:sz="4" w:space="0" w:color="auto"/>
              <w:bottom w:val="single" w:sz="4" w:space="0" w:color="auto"/>
              <w:right w:val="single" w:sz="4" w:space="0" w:color="auto"/>
            </w:tcBorders>
          </w:tcPr>
          <w:p w14:paraId="427FF441" w14:textId="0222EFE4" w:rsidR="00332D16" w:rsidRDefault="00332D16" w:rsidP="008455DE">
            <w:pPr>
              <w:pStyle w:val="TAC"/>
              <w:spacing w:before="60" w:after="60"/>
              <w:ind w:right="57"/>
              <w:jc w:val="both"/>
              <w:rPr>
                <w:rFonts w:cs="Arial"/>
                <w:lang w:val="en-US" w:eastAsia="zh-CN"/>
              </w:rPr>
            </w:pPr>
            <w:r>
              <w:rPr>
                <w:rFonts w:cs="Arial"/>
                <w:lang w:val="en-US" w:eastAsia="zh-CN"/>
              </w:rPr>
              <w:t>Option 2 or 3.</w:t>
            </w:r>
          </w:p>
        </w:tc>
        <w:tc>
          <w:tcPr>
            <w:tcW w:w="7138" w:type="dxa"/>
            <w:tcBorders>
              <w:left w:val="single" w:sz="4" w:space="0" w:color="auto"/>
              <w:right w:val="single" w:sz="4" w:space="0" w:color="auto"/>
            </w:tcBorders>
          </w:tcPr>
          <w:p w14:paraId="41CA2CB1" w14:textId="736A5CAE" w:rsidR="00332D16" w:rsidRPr="0042343E" w:rsidRDefault="00332D16" w:rsidP="008455DE">
            <w:pPr>
              <w:pStyle w:val="TAC"/>
              <w:spacing w:before="60" w:after="60"/>
              <w:ind w:right="57"/>
              <w:jc w:val="both"/>
              <w:rPr>
                <w:rFonts w:ascii="Times New Roman" w:hAnsi="Times New Roman"/>
                <w:b/>
                <w:bCs/>
                <w:color w:val="FF0000"/>
                <w:sz w:val="20"/>
                <w:szCs w:val="18"/>
                <w:lang w:val="en-US" w:eastAsia="zh-CN"/>
              </w:rPr>
            </w:pPr>
            <w:r>
              <w:rPr>
                <w:rFonts w:ascii="Times New Roman" w:hAnsi="Times New Roman"/>
                <w:sz w:val="20"/>
                <w:szCs w:val="18"/>
                <w:lang w:eastAsia="zh-CN"/>
              </w:rPr>
              <w:t>We think there are significant challenges with using assistance information, such as how this would work for groupcast/broadcast, or how to ensure the COT initiator gets accurate BSR information, given that the receiving UE needs to acquire the channel to send it.  Also, although RAN1 is discussing inclusion of additional destinations, this list of destination can be acquired in other ways (upper layers, PC5-RRC, etc).  However, if majority prefers waiting for RAN1 discussion, we are also fine.</w:t>
            </w:r>
          </w:p>
        </w:tc>
      </w:tr>
      <w:tr w:rsidR="00845472" w14:paraId="2C2077F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EA1804B" w14:textId="138B7CD4" w:rsidR="00845472" w:rsidRDefault="00845472" w:rsidP="00845472">
            <w:pPr>
              <w:pStyle w:val="TAC"/>
              <w:spacing w:before="60" w:after="60"/>
              <w:ind w:left="57" w:right="57"/>
              <w:jc w:val="both"/>
              <w:rPr>
                <w:rFonts w:cs="Arial"/>
                <w:lang w:val="en-US" w:eastAsia="zh-CN"/>
              </w:rPr>
            </w:pPr>
            <w:r>
              <w:rPr>
                <w:rFonts w:cs="Arial"/>
                <w:lang w:val="en-US" w:eastAsia="zh-CN"/>
              </w:rPr>
              <w:t>NEC</w:t>
            </w:r>
          </w:p>
        </w:tc>
        <w:tc>
          <w:tcPr>
            <w:tcW w:w="1400" w:type="dxa"/>
            <w:tcBorders>
              <w:top w:val="single" w:sz="4" w:space="0" w:color="auto"/>
              <w:left w:val="single" w:sz="4" w:space="0" w:color="auto"/>
              <w:bottom w:val="single" w:sz="4" w:space="0" w:color="auto"/>
              <w:right w:val="single" w:sz="4" w:space="0" w:color="auto"/>
            </w:tcBorders>
          </w:tcPr>
          <w:p w14:paraId="34C38FAB" w14:textId="69407B46" w:rsidR="00845472" w:rsidRDefault="00845472" w:rsidP="00845472">
            <w:pPr>
              <w:pStyle w:val="TAC"/>
              <w:spacing w:before="60" w:after="60"/>
              <w:ind w:right="57"/>
              <w:jc w:val="both"/>
              <w:rPr>
                <w:rFonts w:cs="Arial"/>
                <w:lang w:val="en-US" w:eastAsia="zh-CN"/>
              </w:rPr>
            </w:pPr>
            <w:r>
              <w:rPr>
                <w:rFonts w:eastAsia="MS Mincho" w:cs="Arial" w:hint="eastAsia"/>
                <w:lang w:val="en-US" w:eastAsia="ja-JP"/>
              </w:rPr>
              <w:t>O</w:t>
            </w:r>
            <w:r>
              <w:rPr>
                <w:rFonts w:eastAsia="MS Mincho" w:cs="Arial"/>
                <w:lang w:val="en-US" w:eastAsia="ja-JP"/>
              </w:rPr>
              <w:t>ption 2</w:t>
            </w:r>
          </w:p>
        </w:tc>
        <w:tc>
          <w:tcPr>
            <w:tcW w:w="7138" w:type="dxa"/>
            <w:tcBorders>
              <w:left w:val="single" w:sz="4" w:space="0" w:color="auto"/>
              <w:right w:val="single" w:sz="4" w:space="0" w:color="auto"/>
            </w:tcBorders>
          </w:tcPr>
          <w:p w14:paraId="4D6B6577" w14:textId="69C6175A" w:rsidR="00845472" w:rsidRDefault="00845472" w:rsidP="00845472">
            <w:pPr>
              <w:pStyle w:val="TAC"/>
              <w:spacing w:before="60" w:after="60"/>
              <w:ind w:right="57"/>
              <w:jc w:val="both"/>
              <w:rPr>
                <w:rFonts w:ascii="Times New Roman" w:hAnsi="Times New Roman"/>
                <w:sz w:val="20"/>
                <w:szCs w:val="18"/>
                <w:lang w:eastAsia="zh-CN"/>
              </w:rPr>
            </w:pPr>
            <w:r w:rsidRPr="007E3BFF">
              <w:rPr>
                <w:rFonts w:cs="Arial"/>
                <w:lang w:eastAsia="zh-CN"/>
              </w:rPr>
              <w:t xml:space="preserve">How the COT responding UE knows whether the COT iniating UE is going to share a COT in advance? Without the knowledge of that, efforts of transmiiting the assistance information would be wasteful. </w:t>
            </w:r>
          </w:p>
        </w:tc>
      </w:tr>
      <w:tr w:rsidR="00C60B5B" w14:paraId="3CCDC36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A2C39D7" w14:textId="41F1D4B8" w:rsidR="00C60B5B" w:rsidRDefault="00C60B5B" w:rsidP="00845472">
            <w:pPr>
              <w:pStyle w:val="TAC"/>
              <w:spacing w:before="60" w:after="60"/>
              <w:ind w:left="57" w:right="57"/>
              <w:jc w:val="both"/>
              <w:rPr>
                <w:rFonts w:cs="Arial"/>
                <w:lang w:val="en-US" w:eastAsia="zh-CN"/>
              </w:rPr>
            </w:pPr>
            <w:r>
              <w:rPr>
                <w:rFonts w:cs="Arial"/>
                <w:lang w:val="en-US" w:eastAsia="zh-CN"/>
              </w:rPr>
              <w:t>MediaTek</w:t>
            </w:r>
          </w:p>
        </w:tc>
        <w:tc>
          <w:tcPr>
            <w:tcW w:w="1400" w:type="dxa"/>
            <w:tcBorders>
              <w:top w:val="single" w:sz="4" w:space="0" w:color="auto"/>
              <w:left w:val="single" w:sz="4" w:space="0" w:color="auto"/>
              <w:bottom w:val="single" w:sz="4" w:space="0" w:color="auto"/>
              <w:right w:val="single" w:sz="4" w:space="0" w:color="auto"/>
            </w:tcBorders>
          </w:tcPr>
          <w:p w14:paraId="4DB3B629" w14:textId="3CFCFB8B" w:rsidR="00C60B5B" w:rsidRDefault="00C60B5B" w:rsidP="00845472">
            <w:pPr>
              <w:pStyle w:val="TAC"/>
              <w:spacing w:before="60" w:after="60"/>
              <w:ind w:right="57"/>
              <w:jc w:val="both"/>
              <w:rPr>
                <w:rFonts w:eastAsia="MS Mincho" w:cs="Arial"/>
                <w:lang w:val="en-US" w:eastAsia="ja-JP"/>
              </w:rPr>
            </w:pPr>
            <w:r>
              <w:rPr>
                <w:rFonts w:eastAsia="MS Mincho" w:cs="Arial"/>
                <w:lang w:val="en-US" w:eastAsia="ja-JP"/>
              </w:rPr>
              <w:t>Option 2</w:t>
            </w:r>
          </w:p>
        </w:tc>
        <w:tc>
          <w:tcPr>
            <w:tcW w:w="7138" w:type="dxa"/>
            <w:tcBorders>
              <w:left w:val="single" w:sz="4" w:space="0" w:color="auto"/>
              <w:right w:val="single" w:sz="4" w:space="0" w:color="auto"/>
            </w:tcBorders>
          </w:tcPr>
          <w:p w14:paraId="0260208F" w14:textId="77777777" w:rsidR="00C60B5B" w:rsidRPr="007E3BFF" w:rsidRDefault="00C60B5B" w:rsidP="00845472">
            <w:pPr>
              <w:pStyle w:val="TAC"/>
              <w:spacing w:before="60" w:after="60"/>
              <w:ind w:right="57"/>
              <w:jc w:val="both"/>
              <w:rPr>
                <w:rFonts w:cs="Arial"/>
                <w:lang w:eastAsia="zh-CN"/>
              </w:rPr>
            </w:pPr>
          </w:p>
        </w:tc>
      </w:tr>
      <w:tr w:rsidR="00D73B3A" w14:paraId="66ACD92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57EABC6" w14:textId="4CC0B484" w:rsidR="00D73B3A" w:rsidRDefault="00D73B3A" w:rsidP="00845472">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preadtrum</w:t>
            </w:r>
          </w:p>
        </w:tc>
        <w:tc>
          <w:tcPr>
            <w:tcW w:w="1400" w:type="dxa"/>
            <w:tcBorders>
              <w:top w:val="single" w:sz="4" w:space="0" w:color="auto"/>
              <w:left w:val="single" w:sz="4" w:space="0" w:color="auto"/>
              <w:bottom w:val="single" w:sz="4" w:space="0" w:color="auto"/>
              <w:right w:val="single" w:sz="4" w:space="0" w:color="auto"/>
            </w:tcBorders>
          </w:tcPr>
          <w:p w14:paraId="07908215" w14:textId="29CDD236" w:rsidR="00D73B3A" w:rsidRPr="00D73B3A" w:rsidRDefault="00D73B3A" w:rsidP="00845472">
            <w:pPr>
              <w:pStyle w:val="TAC"/>
              <w:spacing w:before="60" w:after="60"/>
              <w:ind w:right="57"/>
              <w:jc w:val="both"/>
              <w:rPr>
                <w:rFonts w:cs="Arial" w:hint="eastAsia"/>
                <w:lang w:val="en-US" w:eastAsia="zh-CN"/>
              </w:rPr>
            </w:pPr>
            <w:r>
              <w:rPr>
                <w:rFonts w:cs="Arial" w:hint="eastAsia"/>
                <w:lang w:val="en-US" w:eastAsia="zh-CN"/>
              </w:rPr>
              <w:t>O</w:t>
            </w:r>
            <w:r>
              <w:rPr>
                <w:rFonts w:cs="Arial"/>
                <w:lang w:val="en-US" w:eastAsia="zh-CN"/>
              </w:rPr>
              <w:t>ption 2</w:t>
            </w:r>
          </w:p>
        </w:tc>
        <w:tc>
          <w:tcPr>
            <w:tcW w:w="7138" w:type="dxa"/>
            <w:tcBorders>
              <w:left w:val="single" w:sz="4" w:space="0" w:color="auto"/>
              <w:right w:val="single" w:sz="4" w:space="0" w:color="auto"/>
            </w:tcBorders>
          </w:tcPr>
          <w:p w14:paraId="4DDB071E" w14:textId="7BA51A6B" w:rsidR="00D73B3A" w:rsidRPr="007E3BFF" w:rsidRDefault="00D73B3A" w:rsidP="00D73B3A">
            <w:pPr>
              <w:pStyle w:val="TAC"/>
              <w:spacing w:before="60" w:after="60"/>
              <w:ind w:right="57"/>
              <w:jc w:val="both"/>
              <w:rPr>
                <w:rFonts w:cs="Arial"/>
                <w:lang w:eastAsia="zh-CN"/>
              </w:rPr>
            </w:pPr>
            <w:r>
              <w:rPr>
                <w:rFonts w:cs="Arial" w:hint="eastAsia"/>
                <w:lang w:eastAsia="zh-CN"/>
              </w:rPr>
              <w:t>We</w:t>
            </w:r>
            <w:r>
              <w:rPr>
                <w:rFonts w:cs="Arial"/>
                <w:lang w:eastAsia="zh-CN"/>
              </w:rPr>
              <w:t xml:space="preserve"> think the assistant information increases the system complexity and the benefit is </w:t>
            </w:r>
            <w:r w:rsidRPr="00D73B3A">
              <w:rPr>
                <w:rFonts w:cs="Arial"/>
                <w:lang w:eastAsia="zh-CN"/>
              </w:rPr>
              <w:t>doubtful</w:t>
            </w:r>
            <w:bookmarkStart w:id="2" w:name="_GoBack"/>
            <w:bookmarkEnd w:id="2"/>
            <w:r>
              <w:rPr>
                <w:rFonts w:cs="Arial"/>
                <w:lang w:eastAsia="zh-CN"/>
              </w:rPr>
              <w:t>.</w:t>
            </w:r>
          </w:p>
        </w:tc>
      </w:tr>
    </w:tbl>
    <w:p w14:paraId="2FE5DF83" w14:textId="77777777" w:rsidR="008529FA" w:rsidRDefault="008529FA">
      <w:pPr>
        <w:overflowPunct w:val="0"/>
        <w:autoSpaceDE w:val="0"/>
        <w:autoSpaceDN w:val="0"/>
        <w:adjustRightInd w:val="0"/>
        <w:spacing w:line="240" w:lineRule="auto"/>
        <w:jc w:val="both"/>
        <w:textAlignment w:val="baseline"/>
        <w:rPr>
          <w:rFonts w:eastAsia="宋体"/>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宋体"/>
          <w:b/>
          <w:kern w:val="2"/>
          <w:sz w:val="22"/>
          <w:lang w:eastAsia="zh-CN"/>
        </w:rPr>
      </w:pPr>
    </w:p>
    <w:p w14:paraId="779372ED" w14:textId="77777777" w:rsidR="008529FA" w:rsidRDefault="00C45119">
      <w:pPr>
        <w:pStyle w:val="1"/>
        <w:numPr>
          <w:ilvl w:val="0"/>
          <w:numId w:val="3"/>
        </w:numPr>
      </w:pPr>
      <w:r>
        <w:t>Conclusion</w:t>
      </w:r>
    </w:p>
    <w:p w14:paraId="6EACEDB3" w14:textId="77777777" w:rsidR="008529FA" w:rsidRDefault="008529FA">
      <w:pPr>
        <w:pStyle w:val="B1"/>
        <w:ind w:left="0" w:firstLine="0"/>
        <w:rPr>
          <w:rFonts w:eastAsia="等线"/>
          <w:sz w:val="22"/>
          <w:lang w:eastAsia="zh-CN"/>
        </w:rPr>
      </w:pPr>
    </w:p>
    <w:sectPr w:rsidR="008529FA">
      <w:headerReference w:type="even" r:id="rId16"/>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C23F" w14:textId="77777777" w:rsidR="00AD7DC6" w:rsidRDefault="00AD7DC6">
      <w:pPr>
        <w:spacing w:line="240" w:lineRule="auto"/>
      </w:pPr>
      <w:r>
        <w:separator/>
      </w:r>
    </w:p>
  </w:endnote>
  <w:endnote w:type="continuationSeparator" w:id="0">
    <w:p w14:paraId="6443AF54" w14:textId="77777777" w:rsidR="00AD7DC6" w:rsidRDefault="00AD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9B43" w14:textId="77777777" w:rsidR="00AD7DC6" w:rsidRDefault="00AD7DC6">
      <w:pPr>
        <w:spacing w:after="0"/>
      </w:pPr>
      <w:r>
        <w:separator/>
      </w:r>
    </w:p>
  </w:footnote>
  <w:footnote w:type="continuationSeparator" w:id="0">
    <w:p w14:paraId="18845A78" w14:textId="77777777" w:rsidR="00AD7DC6" w:rsidRDefault="00AD7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797"/>
    <w:multiLevelType w:val="hybridMultilevel"/>
    <w:tmpl w:val="E0605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70A0776"/>
    <w:multiLevelType w:val="hybridMultilevel"/>
    <w:tmpl w:val="22B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167C1"/>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614E"/>
    <w:rsid w:val="00307033"/>
    <w:rsid w:val="00307D68"/>
    <w:rsid w:val="00311D7C"/>
    <w:rsid w:val="00313876"/>
    <w:rsid w:val="00315799"/>
    <w:rsid w:val="00315B3E"/>
    <w:rsid w:val="00323371"/>
    <w:rsid w:val="00323F0A"/>
    <w:rsid w:val="00324751"/>
    <w:rsid w:val="003309F0"/>
    <w:rsid w:val="00332D16"/>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343E"/>
    <w:rsid w:val="004242F1"/>
    <w:rsid w:val="004314E3"/>
    <w:rsid w:val="004334E6"/>
    <w:rsid w:val="00434F11"/>
    <w:rsid w:val="0044181A"/>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399"/>
    <w:rsid w:val="004F7FEE"/>
    <w:rsid w:val="005039E2"/>
    <w:rsid w:val="005110F3"/>
    <w:rsid w:val="00513C23"/>
    <w:rsid w:val="0051442E"/>
    <w:rsid w:val="0051580D"/>
    <w:rsid w:val="00517340"/>
    <w:rsid w:val="00517D03"/>
    <w:rsid w:val="0052173E"/>
    <w:rsid w:val="00526D55"/>
    <w:rsid w:val="005328D7"/>
    <w:rsid w:val="00547111"/>
    <w:rsid w:val="00550674"/>
    <w:rsid w:val="00551F67"/>
    <w:rsid w:val="0055249C"/>
    <w:rsid w:val="0056243E"/>
    <w:rsid w:val="00562449"/>
    <w:rsid w:val="0056553E"/>
    <w:rsid w:val="00566BAC"/>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97149"/>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E67A2"/>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472"/>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D7DC6"/>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0B5B"/>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73B3A"/>
    <w:rsid w:val="00D801B7"/>
    <w:rsid w:val="00D813FE"/>
    <w:rsid w:val="00D82B7B"/>
    <w:rsid w:val="00D83C4F"/>
    <w:rsid w:val="00D90454"/>
    <w:rsid w:val="00D93FDC"/>
    <w:rsid w:val="00D97222"/>
    <w:rsid w:val="00DA02E4"/>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77E9A"/>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229B"/>
    <w:rsid w:val="00F83271"/>
    <w:rsid w:val="00F900E6"/>
    <w:rsid w:val="00F91607"/>
    <w:rsid w:val="00F94572"/>
    <w:rsid w:val="00F95495"/>
    <w:rsid w:val="00F97286"/>
    <w:rsid w:val="00F97431"/>
    <w:rsid w:val="00FA2AF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a9"/>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ad"/>
    <w:uiPriority w:val="99"/>
    <w:qFormat/>
    <w:pPr>
      <w:widowControl w:val="0"/>
      <w:spacing w:after="160" w:line="259" w:lineRule="auto"/>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af">
    <w:name w:val="Normal (Web)"/>
    <w:basedOn w:val="a"/>
    <w:semiHidden/>
    <w:unhideWhenUsed/>
    <w:qFormat/>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7"/>
    <w:next w:val="a7"/>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af6">
    <w:name w:val="List Paragraph"/>
    <w:basedOn w:val="a"/>
    <w:link w:val="af7"/>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7">
    <w:name w:val="列出段落 字符"/>
    <w:link w:val="af6"/>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9">
    <w:name w:val="正文文本 字符"/>
    <w:link w:val="a8"/>
    <w:qFormat/>
    <w:rPr>
      <w:szCs w:val="24"/>
      <w:lang w:eastAsia="en-US"/>
    </w:rPr>
  </w:style>
  <w:style w:type="character" w:customStyle="1" w:styleId="ad">
    <w:name w:val="页眉 字符"/>
    <w:link w:val="ac"/>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1"/>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 w:type="character" w:customStyle="1" w:styleId="UnresolvedMention">
    <w:name w:val="Unresolved Mention"/>
    <w:basedOn w:val="a0"/>
    <w:uiPriority w:val="99"/>
    <w:semiHidden/>
    <w:unhideWhenUsed/>
    <w:rsid w:val="005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angjing@vivo.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ming-yuan.cheng@mediatek.co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qinli@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06D8535D-6532-42F0-B349-239838D2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Spreadtrum Communications</cp:lastModifiedBy>
  <cp:revision>2</cp:revision>
  <cp:lastPrinted>2411-12-31T14:59:00Z</cp:lastPrinted>
  <dcterms:created xsi:type="dcterms:W3CDTF">2023-04-24T02:01:00Z</dcterms:created>
  <dcterms:modified xsi:type="dcterms:W3CDTF">2023-04-24T02:01:00Z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y fmtid="{D5CDD505-2E9C-101B-9397-08002B2CF9AE}" pid="31" name="MSIP_Label_83bcef13-7cac-433f-ba1d-47a323951816_Enabled">
    <vt:lpwstr>true</vt:lpwstr>
  </property>
  <property fmtid="{D5CDD505-2E9C-101B-9397-08002B2CF9AE}" pid="32" name="MSIP_Label_83bcef13-7cac-433f-ba1d-47a323951816_SetDate">
    <vt:lpwstr>2023-04-22T20:14:15Z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dedd83d5-ab49-4049-b027-1cddb92950a5</vt:lpwstr>
  </property>
  <property fmtid="{D5CDD505-2E9C-101B-9397-08002B2CF9AE}" pid="37" name="MSIP_Label_83bcef13-7cac-433f-ba1d-47a323951816_ContentBits">
    <vt:lpwstr>0</vt:lpwstr>
  </property>
</Properties>
</file>