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[502][V2X/SL] Clear SL CG (ASUSTe</w:t>
      </w:r>
      <w:r w:rsidR="00AB0734">
        <w:rPr>
          <w:rFonts w:ascii="Arial" w:hAnsi="Arial" w:cs="Arial"/>
          <w:b/>
          <w:bCs/>
        </w:rPr>
        <w:t>K</w:t>
      </w:r>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[AT121bis-e][502][V2X/SL] Clear SL CG (ASUSTek)</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Huawei, HiSilicon</w:t>
            </w:r>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DengXian"/>
                <w:lang w:eastAsia="zh-CN"/>
              </w:rPr>
            </w:pPr>
            <w:r>
              <w:rPr>
                <w:rFonts w:eastAsia="DengXian"/>
                <w:lang w:eastAsia="zh-CN"/>
              </w:rPr>
              <w:t>Xiao XIAO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E1BED82" w14:textId="082DCCC5" w:rsidR="00965D61" w:rsidRDefault="00965D61" w:rsidP="0032142D">
            <w:pPr>
              <w:pStyle w:val="TAC"/>
              <w:snapToGrid w:val="0"/>
              <w:spacing w:line="240" w:lineRule="atLeast"/>
              <w:rPr>
                <w:rFonts w:eastAsia="DengXian"/>
                <w:lang w:eastAsia="zh-CN"/>
              </w:rPr>
            </w:pPr>
            <w:r>
              <w:rPr>
                <w:rFonts w:eastAsia="DengXian"/>
                <w:lang w:eastAsia="zh-CN"/>
              </w:rPr>
              <w:t>Zhibin Wu. (Zhibin_wu@apple.com)</w:t>
            </w:r>
          </w:p>
        </w:tc>
      </w:tr>
      <w:tr w:rsidR="003D3717" w14:paraId="00004831" w14:textId="77777777" w:rsidTr="00340F7C">
        <w:trPr>
          <w:trHeight w:val="181"/>
        </w:trPr>
        <w:tc>
          <w:tcPr>
            <w:tcW w:w="3838" w:type="dxa"/>
          </w:tcPr>
          <w:p w14:paraId="10868176" w14:textId="5A6D24ED" w:rsidR="003D3717" w:rsidRDefault="003D3717" w:rsidP="0032142D">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13214FD5" w14:textId="68F80B89" w:rsidR="003D3717" w:rsidRDefault="003D3717" w:rsidP="003D3717">
            <w:pPr>
              <w:pStyle w:val="TAC"/>
              <w:snapToGrid w:val="0"/>
              <w:spacing w:line="240" w:lineRule="atLeast"/>
              <w:rPr>
                <w:rFonts w:eastAsia="DengXian"/>
                <w:lang w:eastAsia="zh-CN"/>
              </w:rPr>
            </w:pPr>
            <w:r>
              <w:rPr>
                <w:rFonts w:eastAsia="DengXian"/>
                <w:lang w:eastAsia="zh-CN"/>
              </w:rPr>
              <w:t>Li Zhao(</w:t>
            </w:r>
            <w:hyperlink r:id="rId8" w:history="1">
              <w:r w:rsidR="0056396D" w:rsidRPr="00894B65">
                <w:rPr>
                  <w:rStyle w:val="Hyperlink"/>
                  <w:rFonts w:eastAsia="DengXian"/>
                  <w:lang w:eastAsia="zh-CN"/>
                </w:rPr>
                <w:t>zhaoli6@xiaomi.com</w:t>
              </w:r>
            </w:hyperlink>
            <w:r>
              <w:rPr>
                <w:rFonts w:eastAsia="DengXian"/>
                <w:lang w:eastAsia="zh-CN"/>
              </w:rPr>
              <w:t>)</w:t>
            </w:r>
          </w:p>
        </w:tc>
      </w:tr>
      <w:tr w:rsidR="0056396D" w14:paraId="016175A9" w14:textId="77777777" w:rsidTr="00340F7C">
        <w:trPr>
          <w:trHeight w:val="181"/>
        </w:trPr>
        <w:tc>
          <w:tcPr>
            <w:tcW w:w="3838" w:type="dxa"/>
          </w:tcPr>
          <w:p w14:paraId="5BF4079F" w14:textId="6DA7F80B" w:rsidR="0056396D" w:rsidRPr="0056396D" w:rsidRDefault="0056396D"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BD54FC1" w14:textId="4A39B32C" w:rsidR="0056396D" w:rsidRPr="0056396D" w:rsidRDefault="0056396D" w:rsidP="003D3717">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bl>
    <w:p w14:paraId="48BBDE14" w14:textId="020645D7" w:rsidR="00C5178D" w:rsidRDefault="00C5178D" w:rsidP="00EB00C8">
      <w:pPr>
        <w:pStyle w:val="Heading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TableGrid"/>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t>I</w:t>
      </w:r>
      <w:r w:rsidRPr="00F058BE">
        <w:rPr>
          <w:rFonts w:ascii="Times New Roman" w:hAnsi="Times New Roman" w:cs="Times New Roman"/>
          <w:sz w:val="22"/>
          <w:lang w:val="en-GB"/>
        </w:rPr>
        <w:t xml:space="preserve">n the current specification, when a MAC entity performs MAC reset requested by RRC, the MAC entity considers the </w:t>
      </w:r>
      <w:r w:rsidRPr="00F058BE">
        <w:rPr>
          <w:rFonts w:ascii="Times New Roman" w:hAnsi="Times New Roman" w:cs="Times New Roman"/>
          <w:i/>
          <w:sz w:val="22"/>
          <w:lang w:val="en-GB"/>
        </w:rPr>
        <w:t>timeAlignmentTimer</w:t>
      </w:r>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TableGrid"/>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TableGrid"/>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DengXian"/>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sl-ConfigDedicatedNR</w:t>
            </w:r>
            <w:r w:rsidRPr="00F10B4F">
              <w:t xml:space="preserve"> within </w:t>
            </w:r>
            <w:r w:rsidRPr="00F10B4F">
              <w:rPr>
                <w:i/>
              </w:rPr>
              <w:t>RRCReconfiguration</w:t>
            </w:r>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r w:rsidRPr="00F10B4F">
              <w:rPr>
                <w:i/>
              </w:rPr>
              <w:t>sl-ScheduledConfig</w:t>
            </w:r>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r w:rsidRPr="00CD67C5">
              <w:rPr>
                <w:i/>
                <w:highlight w:val="yellow"/>
                <w:lang w:val="en-GB"/>
              </w:rPr>
              <w:t>rrc-ConfiguredSidelinkGrant</w:t>
            </w:r>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r w:rsidRPr="00CD67C5">
              <w:rPr>
                <w:rFonts w:ascii="Times New Roman" w:eastAsia="Times New Roman" w:hAnsi="Times New Roman" w:cs="Times New Roman"/>
                <w:i/>
                <w:iCs/>
                <w:kern w:val="0"/>
                <w:sz w:val="20"/>
                <w:szCs w:val="20"/>
                <w:lang w:val="en-GB" w:eastAsia="ja-JP"/>
              </w:rPr>
              <w:t>rrc-ConfiguredSidelinkGrant</w:t>
            </w:r>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lastRenderedPageBreak/>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it is proposed to clear the sidelink grant when 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configured sidelink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configured sidelink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TableGrid"/>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t xml:space="preserve">With the above contributions summarized, this email discussion respectfully asks for all companies’ view on </w:t>
      </w:r>
      <w:r>
        <w:rPr>
          <w:rFonts w:ascii="Times New Roman" w:hAnsi="Times New Roman" w:cs="Times New Roman"/>
          <w:sz w:val="22"/>
          <w:lang w:val="en-GB"/>
        </w:rPr>
        <w:lastRenderedPageBreak/>
        <w:t>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the UE should clear configured sidelink grant when performing MAC reset?</w:t>
      </w:r>
    </w:p>
    <w:tbl>
      <w:tblPr>
        <w:tblStyle w:val="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r>
              <w:rPr>
                <w:rFonts w:ascii="Arial" w:hAnsi="Arial" w:hint="eastAsia"/>
                <w:sz w:val="18"/>
                <w:lang w:val="en-US" w:eastAsia="ko-KR"/>
              </w:rPr>
              <w:t>ASUSTeK</w:t>
            </w:r>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v</w:t>
            </w:r>
            <w:r>
              <w:rPr>
                <w:rFonts w:ascii="Arial" w:eastAsia="DengXian"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A</w:t>
            </w:r>
            <w:r>
              <w:rPr>
                <w:rFonts w:ascii="Arial" w:eastAsia="DengXian"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DengXian" w:hAnsi="Arial"/>
                <w:sz w:val="18"/>
                <w:lang w:eastAsia="zh-CN"/>
              </w:rPr>
            </w:pPr>
            <w:r>
              <w:rPr>
                <w:rFonts w:ascii="Arial" w:eastAsia="DengXian"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We tend to agree with Huawei’s understanding that UL CG is also cleared when Uu MAC reset. So, SL MAC reset can result similär behavior to clear all SL CGs.</w:t>
            </w:r>
          </w:p>
        </w:tc>
      </w:tr>
      <w:tr w:rsidR="003D3717" w:rsidRPr="00C30A71" w14:paraId="79F0C7F1" w14:textId="77777777" w:rsidTr="0075798F">
        <w:tc>
          <w:tcPr>
            <w:tcW w:w="1915" w:type="dxa"/>
          </w:tcPr>
          <w:p w14:paraId="0A6DE143" w14:textId="25D63548" w:rsidR="003D3717" w:rsidRDefault="003D3717"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lastRenderedPageBreak/>
              <w:t>X</w:t>
            </w:r>
            <w:r>
              <w:rPr>
                <w:rFonts w:ascii="Arial" w:eastAsia="DengXian" w:hAnsi="Arial"/>
                <w:sz w:val="18"/>
                <w:lang w:eastAsia="zh-CN"/>
              </w:rPr>
              <w:t>iaomi</w:t>
            </w:r>
          </w:p>
        </w:tc>
        <w:tc>
          <w:tcPr>
            <w:tcW w:w="1848" w:type="dxa"/>
          </w:tcPr>
          <w:p w14:paraId="3467830F" w14:textId="59B15555" w:rsidR="003D3717" w:rsidRDefault="003D3717"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sidR="00AA3318">
              <w:rPr>
                <w:rFonts w:ascii="Arial" w:eastAsia="DengXian" w:hAnsi="Arial"/>
                <w:sz w:val="18"/>
                <w:lang w:val="en-GB" w:eastAsia="zh-CN"/>
              </w:rPr>
              <w:t>isagree but</w:t>
            </w:r>
          </w:p>
        </w:tc>
        <w:tc>
          <w:tcPr>
            <w:tcW w:w="5865" w:type="dxa"/>
          </w:tcPr>
          <w:p w14:paraId="05DDE4B1" w14:textId="77777777" w:rsidR="003D3717" w:rsidRDefault="003D3717"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We check the sepcification and found there are some cases MAC reset will be triggered, e.g., T311 running and upon reception of HO command. </w:t>
            </w:r>
          </w:p>
          <w:p w14:paraId="19054F8C" w14:textId="77777777" w:rsidR="00AF5400" w:rsidRDefault="003D371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Actually if T311 is running, we already restrict the usage of CG via RRC normative text and there is no need to</w:t>
            </w:r>
            <w:r w:rsidR="00AF5400">
              <w:rPr>
                <w:rFonts w:ascii="Arial" w:eastAsia="DengXian" w:hAnsi="Arial"/>
                <w:sz w:val="18"/>
                <w:lang w:eastAsia="zh-CN"/>
              </w:rPr>
              <w:t xml:space="preserve"> duplicate the </w:t>
            </w:r>
            <w:r w:rsidR="00AF5400">
              <w:rPr>
                <w:rFonts w:ascii="Arial" w:eastAsia="DengXian" w:hAnsi="Arial" w:hint="eastAsia"/>
                <w:sz w:val="18"/>
                <w:lang w:eastAsia="zh-CN"/>
              </w:rPr>
              <w:t>“</w:t>
            </w:r>
            <w:r w:rsidR="00AF5400">
              <w:rPr>
                <w:rFonts w:ascii="Arial" w:eastAsia="DengXian" w:hAnsi="Arial" w:hint="eastAsia"/>
                <w:sz w:val="18"/>
                <w:lang w:eastAsia="zh-CN"/>
              </w:rPr>
              <w:t>clear</w:t>
            </w:r>
            <w:r w:rsidR="00AF5400">
              <w:rPr>
                <w:rFonts w:ascii="Arial" w:eastAsia="DengXian" w:hAnsi="Arial" w:hint="eastAsia"/>
                <w:sz w:val="18"/>
                <w:lang w:eastAsia="zh-CN"/>
              </w:rPr>
              <w:t>”</w:t>
            </w:r>
            <w:r>
              <w:rPr>
                <w:rFonts w:ascii="Arial" w:eastAsia="DengXian" w:hAnsi="Arial" w:hint="eastAsia"/>
                <w:sz w:val="18"/>
                <w:lang w:eastAsia="zh-CN"/>
              </w:rPr>
              <w:t xml:space="preserve"> </w:t>
            </w:r>
            <w:r w:rsidR="00AF5400">
              <w:rPr>
                <w:rFonts w:ascii="Arial" w:eastAsia="DengXian" w:hAnsi="Arial"/>
                <w:sz w:val="18"/>
                <w:lang w:eastAsia="zh-CN"/>
              </w:rPr>
              <w:t>in MAC, i.e., even MAC does not clear CG, UE is not allowed to use it if MAC reset is triggered during T311 running.</w:t>
            </w:r>
          </w:p>
          <w:p w14:paraId="02F86282" w14:textId="0FD0B8E4" w:rsidR="003D3717" w:rsidRDefault="00AF5400"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w:t>
            </w:r>
            <w:r w:rsidR="00355587">
              <w:rPr>
                <w:rFonts w:ascii="Arial" w:eastAsia="DengXian" w:hAnsi="Arial"/>
                <w:sz w:val="18"/>
                <w:lang w:eastAsia="zh-CN"/>
              </w:rPr>
              <w:t xml:space="preserve">requiring the UE to release itself. </w:t>
            </w:r>
          </w:p>
          <w:p w14:paraId="0F3814BD" w14:textId="2AEAD21E" w:rsidR="00355587" w:rsidRDefault="0035558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Regarding UE cancels the CG confirmation upon MAC reset, we think this is to cancel all the reporting to NW upon MAC reset and based on the existing spec, only when confirmation is triggered will the UE store the SL CG and initialise the SL CG</w:t>
            </w:r>
            <w:r w:rsidR="004E77D6">
              <w:rPr>
                <w:rFonts w:ascii="Arial" w:eastAsia="DengXian" w:hAnsi="Arial"/>
                <w:sz w:val="18"/>
                <w:lang w:eastAsia="zh-CN"/>
              </w:rPr>
              <w:t>.</w:t>
            </w:r>
            <w:r>
              <w:rPr>
                <w:rFonts w:ascii="Arial" w:eastAsia="DengXian" w:hAnsi="Arial"/>
                <w:sz w:val="18"/>
                <w:lang w:eastAsia="zh-CN"/>
              </w:rPr>
              <w:t xml:space="preserve"> </w:t>
            </w:r>
            <w:r w:rsidR="004E77D6">
              <w:rPr>
                <w:rFonts w:ascii="Arial" w:eastAsia="DengXian" w:hAnsi="Arial"/>
                <w:sz w:val="18"/>
                <w:lang w:eastAsia="zh-CN"/>
              </w:rPr>
              <w:t>S</w:t>
            </w:r>
            <w:r>
              <w:rPr>
                <w:rFonts w:ascii="Arial" w:eastAsia="DengXian" w:hAnsi="Arial"/>
                <w:sz w:val="18"/>
                <w:lang w:eastAsia="zh-CN"/>
              </w:rPr>
              <w:t>o if the SL CG has not been confirmed upon MAC reset, the confirmation will be cancelled and the SL CG will not be initialized</w:t>
            </w:r>
            <w:r w:rsidR="004E77D6">
              <w:rPr>
                <w:rFonts w:ascii="Arial" w:eastAsia="DengXian" w:hAnsi="Arial"/>
                <w:sz w:val="18"/>
                <w:lang w:eastAsia="zh-CN"/>
              </w:rPr>
              <w:t>/used</w:t>
            </w:r>
            <w:r>
              <w:rPr>
                <w:rFonts w:ascii="Arial" w:eastAsia="DengXian" w:hAnsi="Arial"/>
                <w:sz w:val="18"/>
                <w:lang w:eastAsia="zh-CN"/>
              </w:rPr>
              <w:t xml:space="preserve">. Therefore we think the comment </w:t>
            </w:r>
            <w:r>
              <w:rPr>
                <w:rFonts w:ascii="Arial" w:eastAsia="DengXian" w:hAnsi="Arial" w:hint="eastAsia"/>
                <w:sz w:val="18"/>
                <w:lang w:eastAsia="zh-CN"/>
              </w:rPr>
              <w:t>that</w:t>
            </w:r>
            <w:r>
              <w:rPr>
                <w:rFonts w:ascii="Arial" w:eastAsia="DengXian" w:hAnsi="Arial"/>
                <w:sz w:val="18"/>
                <w:lang w:eastAsia="zh-CN"/>
              </w:rPr>
              <w:t xml:space="preserve"> </w:t>
            </w:r>
            <w:r>
              <w:rPr>
                <w:rFonts w:ascii="Arial" w:eastAsia="PMingLiU" w:hAnsi="Arial"/>
                <w:sz w:val="18"/>
              </w:rPr>
              <w:t xml:space="preserve">UE clear the triggered SL grant confirmation but still to use the SL grant is not correct. </w:t>
            </w:r>
          </w:p>
          <w:p w14:paraId="62FE8641" w14:textId="77777777" w:rsidR="00355587" w:rsidRPr="00B71987" w:rsidRDefault="00355587" w:rsidP="00355587">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597165E5" w14:textId="77777777" w:rsidR="00355587" w:rsidRPr="00B71987" w:rsidRDefault="00355587" w:rsidP="00355587">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6E5EECD0" w14:textId="77777777" w:rsidR="00355587" w:rsidRPr="00355587" w:rsidRDefault="00355587" w:rsidP="00355587">
            <w:pPr>
              <w:pStyle w:val="B3"/>
              <w:rPr>
                <w:noProof/>
                <w:highlight w:val="yellow"/>
                <w:lang w:eastAsia="ko-KR"/>
              </w:rPr>
            </w:pPr>
            <w:r w:rsidRPr="00355587">
              <w:rPr>
                <w:noProof/>
                <w:highlight w:val="yellow"/>
                <w:lang w:eastAsia="ko-KR"/>
              </w:rPr>
              <w:t>3&gt;</w:t>
            </w:r>
            <w:r w:rsidRPr="00355587">
              <w:rPr>
                <w:noProof/>
                <w:highlight w:val="yellow"/>
                <w:lang w:eastAsia="ko-KR"/>
              </w:rPr>
              <w:tab/>
              <w:t>store the configured sidelink grant;</w:t>
            </w:r>
          </w:p>
          <w:p w14:paraId="4AAFD39C" w14:textId="77777777" w:rsidR="00355587" w:rsidRPr="00B71987" w:rsidRDefault="00355587" w:rsidP="00355587">
            <w:pPr>
              <w:pStyle w:val="B3"/>
            </w:pPr>
            <w:r w:rsidRPr="00355587">
              <w:rPr>
                <w:noProof/>
                <w:highlight w:val="yellow"/>
                <w:lang w:eastAsia="ko-KR"/>
              </w:rPr>
              <w:t>3&gt;</w:t>
            </w:r>
            <w:r w:rsidRPr="00355587">
              <w:rPr>
                <w:noProof/>
                <w:highlight w:val="yellow"/>
                <w:lang w:eastAsia="ko-KR"/>
              </w:rPr>
              <w:tab/>
              <w:t xml:space="preserve">initialise or re-initialise the configured sidelink grant to determine the set of PSCCH durations and the set of PSSCH durations for transmissions of multiple MAC PDUs according to </w:t>
            </w:r>
            <w:r w:rsidRPr="00355587">
              <w:rPr>
                <w:highlight w:val="yellow"/>
              </w:rPr>
              <w:t>clause 8.1.2 of TS 38.214 [7].</w:t>
            </w:r>
          </w:p>
          <w:p w14:paraId="28C5713C" w14:textId="77777777" w:rsidR="00355587" w:rsidRDefault="006D44A1" w:rsidP="00AF5400">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428B9FC3" w14:textId="77777777" w:rsidR="002D310E" w:rsidRDefault="002D310E" w:rsidP="00AF5400">
            <w:pPr>
              <w:keepNext/>
              <w:keepLines/>
              <w:widowControl/>
              <w:adjustRightInd w:val="0"/>
              <w:snapToGrid w:val="0"/>
              <w:rPr>
                <w:rFonts w:ascii="Arial" w:eastAsia="DengXian" w:hAnsi="Arial"/>
                <w:sz w:val="18"/>
                <w:lang w:val="en-GB" w:eastAsia="zh-CN"/>
              </w:rPr>
            </w:pPr>
          </w:p>
          <w:p w14:paraId="021BA760" w14:textId="218CE2AC" w:rsidR="002D310E" w:rsidRPr="00355587" w:rsidRDefault="002D310E" w:rsidP="00AF5400">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w:t>
            </w:r>
            <w:r w:rsidRPr="002D310E">
              <w:rPr>
                <w:rFonts w:ascii="Arial" w:eastAsia="DengXian" w:hAnsi="Arial"/>
                <w:sz w:val="18"/>
                <w:highlight w:val="yellow"/>
                <w:lang w:val="en-GB" w:eastAsia="zh-CN"/>
              </w:rPr>
              <w:t>Huawei, HiSilicon</w:t>
            </w:r>
            <w:r>
              <w:rPr>
                <w:rFonts w:ascii="Arial" w:eastAsia="DengXian" w:hAnsi="Arial"/>
                <w:sz w:val="18"/>
                <w:lang w:val="en-GB" w:eastAsia="zh-CN"/>
              </w:rPr>
              <w:t xml:space="preserve">] Thanks for Xiaomi's comments. On </w:t>
            </w:r>
            <w:r w:rsidR="001D27F1">
              <w:rPr>
                <w:rFonts w:ascii="Arial" w:eastAsia="DengXian" w:hAnsi="Arial"/>
                <w:sz w:val="18"/>
                <w:lang w:val="en-GB" w:eastAsia="zh-CN"/>
              </w:rPr>
              <w:t>which approach is more complicated, there could be different preferences, e.g. either relying on NT's following clean-up after MAC reset, or relying on "</w:t>
            </w:r>
            <w:r w:rsidR="00755609">
              <w:rPr>
                <w:rFonts w:ascii="Arial" w:eastAsia="DengXian" w:hAnsi="Arial"/>
                <w:sz w:val="18"/>
                <w:lang w:val="en-GB" w:eastAsia="zh-CN"/>
              </w:rPr>
              <w:t xml:space="preserve">all </w:t>
            </w:r>
            <w:r w:rsidR="001D27F1">
              <w:rPr>
                <w:rFonts w:ascii="Arial" w:eastAsia="DengXian" w:hAnsi="Arial"/>
                <w:sz w:val="18"/>
                <w:lang w:val="en-GB" w:eastAsia="zh-CN"/>
              </w:rPr>
              <w:t xml:space="preserve">clearing" actions during MAC rest. We understand there is no much difference from UE </w:t>
            </w:r>
            <w:r w:rsidR="00564433">
              <w:rPr>
                <w:rFonts w:ascii="Arial" w:eastAsia="DengXian" w:hAnsi="Arial"/>
                <w:sz w:val="18"/>
                <w:lang w:val="en-GB" w:eastAsia="zh-CN"/>
              </w:rPr>
              <w:t>implementation</w:t>
            </w:r>
            <w:r w:rsidR="001D27F1">
              <w:rPr>
                <w:rFonts w:ascii="Arial" w:eastAsia="DengXian" w:hAnsi="Arial"/>
                <w:sz w:val="18"/>
                <w:lang w:val="en-GB" w:eastAsia="zh-CN"/>
              </w:rPr>
              <w:t xml:space="preserve"> perspective as UE would follow NT's de-configuration/deactivation with either approach. However from NT perspective, if NT would trigger MAC reset (for a reason not necessarily by T311 or HO), it would be more preferred to have "all at once" clearing </w:t>
            </w:r>
            <w:r w:rsidR="00564433">
              <w:rPr>
                <w:rFonts w:ascii="Arial" w:eastAsia="DengXian" w:hAnsi="Arial"/>
                <w:sz w:val="18"/>
                <w:lang w:val="en-GB" w:eastAsia="zh-CN"/>
              </w:rPr>
              <w:t>behaviour</w:t>
            </w:r>
            <w:bookmarkStart w:id="18" w:name="_GoBack"/>
            <w:bookmarkEnd w:id="18"/>
            <w:r w:rsidR="001D27F1">
              <w:rPr>
                <w:rFonts w:ascii="Arial" w:eastAsia="DengXian" w:hAnsi="Arial"/>
                <w:sz w:val="18"/>
                <w:lang w:val="en-GB" w:eastAsia="zh-CN"/>
              </w:rPr>
              <w:t xml:space="preserve">. On the "cancel of grant confirmation", </w:t>
            </w:r>
            <w:r w:rsidR="005031DE">
              <w:rPr>
                <w:rFonts w:ascii="Arial" w:eastAsia="DengXian" w:hAnsi="Arial"/>
                <w:sz w:val="18"/>
                <w:lang w:val="en-GB" w:eastAsia="zh-CN"/>
              </w:rPr>
              <w:t>we</w:t>
            </w:r>
            <w:r w:rsidR="001D27F1">
              <w:rPr>
                <w:rFonts w:ascii="Arial" w:eastAsia="DengXian" w:hAnsi="Arial"/>
                <w:sz w:val="18"/>
                <w:lang w:val="en-GB" w:eastAsia="zh-CN"/>
              </w:rPr>
              <w:t xml:space="preserve"> could have been more clear that </w:t>
            </w:r>
            <w:r w:rsidR="005031DE">
              <w:rPr>
                <w:rFonts w:ascii="Arial" w:eastAsia="DengXian" w:hAnsi="Arial"/>
                <w:sz w:val="18"/>
                <w:lang w:val="en-GB" w:eastAsia="zh-CN"/>
              </w:rPr>
              <w:t xml:space="preserve">it means </w:t>
            </w:r>
            <w:r w:rsidR="001D27F1">
              <w:rPr>
                <w:rFonts w:ascii="Arial" w:eastAsia="DengXian" w:hAnsi="Arial"/>
                <w:sz w:val="18"/>
                <w:lang w:val="en-GB" w:eastAsia="zh-CN"/>
              </w:rPr>
              <w:t>using the grant without confirmation</w:t>
            </w:r>
            <w:r w:rsidR="005031DE">
              <w:rPr>
                <w:rFonts w:ascii="Arial" w:eastAsia="DengXian" w:hAnsi="Arial"/>
                <w:sz w:val="18"/>
                <w:lang w:val="en-GB" w:eastAsia="zh-CN"/>
              </w:rPr>
              <w:t xml:space="preserve"> (as it is cancelled)</w:t>
            </w:r>
            <w:r w:rsidR="001D27F1">
              <w:rPr>
                <w:rFonts w:ascii="Arial" w:eastAsia="DengXian" w:hAnsi="Arial"/>
                <w:sz w:val="18"/>
                <w:lang w:val="en-GB" w:eastAsia="zh-CN"/>
              </w:rPr>
              <w:t xml:space="preserve"> is not allowed by spec</w:t>
            </w:r>
            <w:r w:rsidR="005031DE">
              <w:rPr>
                <w:rFonts w:ascii="Arial" w:eastAsia="DengXian" w:hAnsi="Arial"/>
                <w:sz w:val="18"/>
                <w:lang w:val="en-GB" w:eastAsia="zh-CN"/>
              </w:rPr>
              <w:t xml:space="preserve">. </w:t>
            </w:r>
            <w:r w:rsidR="00755609">
              <w:rPr>
                <w:rFonts w:ascii="Arial" w:eastAsia="DengXian" w:hAnsi="Arial"/>
                <w:sz w:val="18"/>
                <w:lang w:val="en-GB" w:eastAsia="zh-CN"/>
              </w:rPr>
              <w:t xml:space="preserve">As MAC reset can happen any time, it is possible SL CG couldn't be used (even not cleared), as without confirmation. </w:t>
            </w:r>
          </w:p>
        </w:tc>
      </w:tr>
      <w:tr w:rsidR="0056396D" w:rsidRPr="00C30A71" w14:paraId="52BE488F" w14:textId="77777777" w:rsidTr="0075798F">
        <w:tc>
          <w:tcPr>
            <w:tcW w:w="1915" w:type="dxa"/>
          </w:tcPr>
          <w:p w14:paraId="42ABF496" w14:textId="76DEC6C4" w:rsidR="0056396D" w:rsidRPr="0056396D" w:rsidRDefault="0056396D" w:rsidP="0032142D">
            <w:pPr>
              <w:keepNext/>
              <w:keepLines/>
              <w:widowControl/>
              <w:adjustRightInd w:val="0"/>
              <w:snapToGrid w:val="0"/>
              <w:jc w:val="center"/>
              <w:rPr>
                <w:rFonts w:ascii="Arial" w:hAnsi="Arial"/>
                <w:sz w:val="18"/>
                <w:lang w:eastAsia="ko-KR"/>
              </w:rPr>
            </w:pPr>
            <w:r>
              <w:rPr>
                <w:rFonts w:ascii="Arial" w:hAnsi="Arial" w:hint="eastAsia"/>
                <w:sz w:val="18"/>
                <w:lang w:eastAsia="ko-KR"/>
              </w:rPr>
              <w:t>Samsung</w:t>
            </w:r>
          </w:p>
        </w:tc>
        <w:tc>
          <w:tcPr>
            <w:tcW w:w="1848" w:type="dxa"/>
          </w:tcPr>
          <w:p w14:paraId="59D308D0" w14:textId="2076806D" w:rsidR="0056396D" w:rsidRPr="0056396D" w:rsidRDefault="0056396D"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10060A1A" w14:textId="1F27EA92" w:rsidR="0054793A" w:rsidRPr="0054793A" w:rsidRDefault="0054793A" w:rsidP="00E87578">
            <w:pPr>
              <w:keepNext/>
              <w:keepLines/>
              <w:widowControl/>
              <w:adjustRightInd w:val="0"/>
              <w:snapToGrid w:val="0"/>
              <w:rPr>
                <w:rFonts w:ascii="Arial" w:hAnsi="Arial"/>
                <w:sz w:val="18"/>
                <w:lang w:eastAsia="ko-KR"/>
              </w:rPr>
            </w:pPr>
            <w:r>
              <w:rPr>
                <w:rFonts w:ascii="Arial" w:hAnsi="Arial"/>
                <w:sz w:val="18"/>
                <w:lang w:eastAsia="ko-KR"/>
              </w:rPr>
              <w:t>(</w:t>
            </w:r>
            <w:r>
              <w:rPr>
                <w:rFonts w:ascii="Arial" w:hAnsi="Arial" w:hint="eastAsia"/>
                <w:sz w:val="18"/>
                <w:lang w:eastAsia="ko-KR"/>
              </w:rPr>
              <w:t>One of proponent)</w:t>
            </w:r>
            <w:r>
              <w:rPr>
                <w:rFonts w:ascii="Arial" w:hAnsi="Arial"/>
                <w:sz w:val="18"/>
                <w:lang w:eastAsia="ko-KR"/>
              </w:rPr>
              <w:t xml:space="preserve"> It is clearer to apply the same </w:t>
            </w:r>
            <w:r w:rsidR="00FD71F2">
              <w:rPr>
                <w:rFonts w:ascii="Arial" w:hAnsi="Arial"/>
                <w:sz w:val="18"/>
                <w:lang w:eastAsia="ko-KR"/>
              </w:rPr>
              <w:t xml:space="preserve">UE </w:t>
            </w:r>
            <w:r>
              <w:rPr>
                <w:rFonts w:ascii="Arial" w:hAnsi="Arial"/>
                <w:sz w:val="18"/>
                <w:lang w:eastAsia="ko-KR"/>
              </w:rPr>
              <w:t xml:space="preserve">behavior for SL CG as </w:t>
            </w:r>
            <w:r w:rsidR="00FD71F2">
              <w:rPr>
                <w:rFonts w:ascii="Arial" w:hAnsi="Arial"/>
                <w:sz w:val="18"/>
                <w:lang w:eastAsia="ko-KR"/>
              </w:rPr>
              <w:t>for Uu</w:t>
            </w:r>
            <w:r w:rsidR="00E87578">
              <w:rPr>
                <w:rFonts w:ascii="Arial" w:hAnsi="Arial"/>
                <w:sz w:val="18"/>
                <w:lang w:eastAsia="ko-KR"/>
              </w:rPr>
              <w:t xml:space="preserve"> CG</w:t>
            </w:r>
            <w:r>
              <w:rPr>
                <w:rFonts w:ascii="Arial" w:hAnsi="Arial"/>
                <w:sz w:val="18"/>
                <w:lang w:eastAsia="ko-KR"/>
              </w:rPr>
              <w:t xml:space="preserve"> upon Uu MAC reset.</w:t>
            </w: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v</w:t>
            </w:r>
            <w:r>
              <w:rPr>
                <w:rFonts w:ascii="Arial" w:eastAsia="DengXian"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B857FE3"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2DE4606" w14:textId="23EAD6F4"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 as is</w:t>
            </w: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Heading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Heading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t>ASUSTeK, Huawei, HiSilicon,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1C535" w14:textId="77777777" w:rsidR="008F52EC" w:rsidRDefault="008F52EC" w:rsidP="006105B4">
      <w:r>
        <w:separator/>
      </w:r>
    </w:p>
  </w:endnote>
  <w:endnote w:type="continuationSeparator" w:id="0">
    <w:p w14:paraId="63ECCE1D" w14:textId="77777777" w:rsidR="008F52EC" w:rsidRDefault="008F52EC"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roman"/>
    <w:pitch w:val="default"/>
    <w:sig w:usb0="00000000" w:usb1="00000000" w:usb2="00000012" w:usb3="00000000" w:csb0="4002009F" w:csb1="DFD7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CD532" w14:textId="77777777" w:rsidR="008F52EC" w:rsidRDefault="008F52EC" w:rsidP="006105B4">
      <w:r>
        <w:separator/>
      </w:r>
    </w:p>
  </w:footnote>
  <w:footnote w:type="continuationSeparator" w:id="0">
    <w:p w14:paraId="16BA0053" w14:textId="77777777" w:rsidR="008F52EC" w:rsidRDefault="008F52EC"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9"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1"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2"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6"/>
  </w:num>
  <w:num w:numId="3">
    <w:abstractNumId w:val="4"/>
  </w:num>
  <w:num w:numId="4">
    <w:abstractNumId w:val="17"/>
  </w:num>
  <w:num w:numId="5">
    <w:abstractNumId w:val="3"/>
  </w:num>
  <w:num w:numId="6">
    <w:abstractNumId w:val="6"/>
  </w:num>
  <w:num w:numId="7">
    <w:abstractNumId w:val="20"/>
  </w:num>
  <w:num w:numId="8">
    <w:abstractNumId w:val="23"/>
  </w:num>
  <w:num w:numId="9">
    <w:abstractNumId w:val="8"/>
  </w:num>
  <w:num w:numId="10">
    <w:abstractNumId w:val="11"/>
  </w:num>
  <w:num w:numId="11">
    <w:abstractNumId w:val="1"/>
  </w:num>
  <w:num w:numId="12">
    <w:abstractNumId w:val="25"/>
  </w:num>
  <w:num w:numId="13">
    <w:abstractNumId w:val="22"/>
  </w:num>
  <w:num w:numId="14">
    <w:abstractNumId w:val="12"/>
  </w:num>
  <w:num w:numId="15">
    <w:abstractNumId w:val="13"/>
  </w:num>
  <w:num w:numId="16">
    <w:abstractNumId w:val="18"/>
  </w:num>
  <w:num w:numId="17">
    <w:abstractNumId w:val="10"/>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6"/>
  </w:num>
  <w:num w:numId="23">
    <w:abstractNumId w:val="14"/>
  </w:num>
  <w:num w:numId="24">
    <w:abstractNumId w:val="9"/>
  </w:num>
  <w:num w:numId="25">
    <w:abstractNumId w:val="7"/>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0"/>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8F52EC"/>
    <w:rsid w:val="00900A96"/>
    <w:rsid w:val="00902767"/>
    <w:rsid w:val="00902B04"/>
    <w:rsid w:val="00903D21"/>
    <w:rsid w:val="0090711C"/>
    <w:rsid w:val="0091635C"/>
    <w:rsid w:val="00924D61"/>
    <w:rsid w:val="009254CE"/>
    <w:rsid w:val="009300F7"/>
    <w:rsid w:val="00937248"/>
    <w:rsid w:val="00940DB1"/>
    <w:rsid w:val="009456B4"/>
    <w:rsid w:val="0095308F"/>
    <w:rsid w:val="009537C0"/>
    <w:rsid w:val="0095688F"/>
    <w:rsid w:val="0095717F"/>
    <w:rsid w:val="00961DFE"/>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97821"/>
    <w:rsid w:val="00FA0456"/>
    <w:rsid w:val="00FA0D01"/>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5A9"/>
    <w:pPr>
      <w:widowControl w:val="0"/>
    </w:pPr>
  </w:style>
  <w:style w:type="paragraph" w:styleId="Heading1">
    <w:name w:val="heading 1"/>
    <w:aliases w:val="H1"/>
    <w:next w:val="Normal"/>
    <w:link w:val="Heading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Heading2">
    <w:name w:val="heading 2"/>
    <w:basedOn w:val="Normal"/>
    <w:next w:val="Normal"/>
    <w:link w:val="Heading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Normal"/>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sid w:val="00C53BA6"/>
    <w:rPr>
      <w:rFonts w:asciiTheme="majorHAnsi" w:eastAsiaTheme="majorEastAsia" w:hAnsiTheme="majorHAnsi" w:cstheme="majorBidi"/>
      <w:b/>
      <w:bCs/>
      <w:sz w:val="36"/>
      <w:szCs w:val="36"/>
    </w:rPr>
  </w:style>
  <w:style w:type="paragraph" w:customStyle="1" w:styleId="B1">
    <w:name w:val="B1"/>
    <w:basedOn w:val="List"/>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List">
    <w:name w:val="List"/>
    <w:basedOn w:val="Normal"/>
    <w:uiPriority w:val="99"/>
    <w:semiHidden/>
    <w:unhideWhenUsed/>
    <w:rsid w:val="00C53BA6"/>
    <w:pPr>
      <w:ind w:leftChars="200" w:left="100" w:hangingChars="200" w:hanging="200"/>
      <w:contextualSpacing/>
    </w:pPr>
  </w:style>
  <w:style w:type="paragraph" w:styleId="List2">
    <w:name w:val="List 2"/>
    <w:basedOn w:val="Normal"/>
    <w:uiPriority w:val="99"/>
    <w:semiHidden/>
    <w:unhideWhenUsed/>
    <w:rsid w:val="00C53BA6"/>
    <w:pPr>
      <w:ind w:leftChars="400" w:left="100" w:hangingChars="200" w:hanging="200"/>
      <w:contextualSpacing/>
    </w:pPr>
  </w:style>
  <w:style w:type="paragraph" w:styleId="ListParagraph">
    <w:name w:val="List Paragraph"/>
    <w:basedOn w:val="Normal"/>
    <w:uiPriority w:val="34"/>
    <w:qFormat/>
    <w:rsid w:val="004604E8"/>
    <w:pPr>
      <w:ind w:leftChars="200" w:left="480"/>
    </w:pPr>
  </w:style>
  <w:style w:type="paragraph" w:customStyle="1" w:styleId="Doc-text2">
    <w:name w:val="Doc-text2"/>
    <w:basedOn w:val="Normal"/>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Header">
    <w:name w:val="header"/>
    <w:basedOn w:val="Normal"/>
    <w:link w:val="HeaderChar"/>
    <w:uiPriority w:val="99"/>
    <w:unhideWhenUsed/>
    <w:rsid w:val="006105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5B4"/>
    <w:rPr>
      <w:sz w:val="20"/>
      <w:szCs w:val="20"/>
    </w:rPr>
  </w:style>
  <w:style w:type="paragraph" w:styleId="Footer">
    <w:name w:val="footer"/>
    <w:basedOn w:val="Normal"/>
    <w:link w:val="FooterChar"/>
    <w:uiPriority w:val="99"/>
    <w:unhideWhenUsed/>
    <w:rsid w:val="006105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5B4"/>
    <w:rPr>
      <w:sz w:val="20"/>
      <w:szCs w:val="20"/>
    </w:rPr>
  </w:style>
  <w:style w:type="paragraph" w:styleId="BalloonText">
    <w:name w:val="Balloon Text"/>
    <w:basedOn w:val="Normal"/>
    <w:link w:val="BalloonTextChar"/>
    <w:uiPriority w:val="99"/>
    <w:semiHidden/>
    <w:unhideWhenUsed/>
    <w:rsid w:val="006105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05B4"/>
    <w:rPr>
      <w:rFonts w:asciiTheme="majorHAnsi" w:eastAsiaTheme="majorEastAsia" w:hAnsiTheme="majorHAnsi" w:cstheme="majorBidi"/>
      <w:sz w:val="18"/>
      <w:szCs w:val="18"/>
    </w:rPr>
  </w:style>
  <w:style w:type="character" w:styleId="CommentReference">
    <w:name w:val="annotation reference"/>
    <w:basedOn w:val="DefaultParagraphFont"/>
    <w:unhideWhenUsed/>
    <w:qFormat/>
    <w:rsid w:val="00C63CD4"/>
    <w:rPr>
      <w:sz w:val="18"/>
      <w:szCs w:val="18"/>
    </w:rPr>
  </w:style>
  <w:style w:type="paragraph" w:styleId="CommentText">
    <w:name w:val="annotation text"/>
    <w:basedOn w:val="Normal"/>
    <w:link w:val="CommentTextChar"/>
    <w:uiPriority w:val="99"/>
    <w:unhideWhenUsed/>
    <w:qFormat/>
    <w:rsid w:val="00C63CD4"/>
  </w:style>
  <w:style w:type="character" w:customStyle="1" w:styleId="CommentTextChar">
    <w:name w:val="Comment Text Char"/>
    <w:basedOn w:val="DefaultParagraphFont"/>
    <w:link w:val="CommentText"/>
    <w:uiPriority w:val="99"/>
    <w:qFormat/>
    <w:rsid w:val="00C63CD4"/>
  </w:style>
  <w:style w:type="paragraph" w:styleId="CommentSubject">
    <w:name w:val="annotation subject"/>
    <w:basedOn w:val="CommentText"/>
    <w:next w:val="CommentText"/>
    <w:link w:val="CommentSubjectChar"/>
    <w:uiPriority w:val="99"/>
    <w:semiHidden/>
    <w:unhideWhenUsed/>
    <w:rsid w:val="00C63CD4"/>
    <w:rPr>
      <w:b/>
      <w:bCs/>
    </w:rPr>
  </w:style>
  <w:style w:type="character" w:customStyle="1" w:styleId="CommentSubjectChar">
    <w:name w:val="Comment Subject Char"/>
    <w:basedOn w:val="CommentTextChar"/>
    <w:link w:val="CommentSubject"/>
    <w:uiPriority w:val="99"/>
    <w:semiHidden/>
    <w:rsid w:val="00C63CD4"/>
    <w:rPr>
      <w:b/>
      <w:bCs/>
    </w:rPr>
  </w:style>
  <w:style w:type="paragraph" w:customStyle="1" w:styleId="NO">
    <w:name w:val="NO"/>
    <w:basedOn w:val="Normal"/>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TableGrid">
    <w:name w:val="Table Grid"/>
    <w:basedOn w:val="TableNormal"/>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Hyperlink">
    <w:name w:val="Hyperlink"/>
    <w:uiPriority w:val="99"/>
    <w:qFormat/>
    <w:rsid w:val="00141497"/>
    <w:rPr>
      <w:color w:val="0000FF"/>
      <w:u w:val="single"/>
    </w:rPr>
  </w:style>
  <w:style w:type="character" w:customStyle="1" w:styleId="Heading2Char">
    <w:name w:val="Heading 2 Char"/>
    <w:basedOn w:val="DefaultParagraphFont"/>
    <w:link w:val="Heading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Normal"/>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List3"/>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List3">
    <w:name w:val="List 3"/>
    <w:basedOn w:val="Normal"/>
    <w:uiPriority w:val="99"/>
    <w:semiHidden/>
    <w:unhideWhenUsed/>
    <w:rsid w:val="001E1943"/>
    <w:pPr>
      <w:ind w:leftChars="600" w:left="100" w:hangingChars="200" w:hanging="200"/>
      <w:contextualSpacing/>
    </w:pPr>
  </w:style>
  <w:style w:type="character" w:customStyle="1" w:styleId="Heading4Char">
    <w:name w:val="Heading 4 Char"/>
    <w:basedOn w:val="DefaultParagraphFont"/>
    <w:link w:val="Heading4"/>
    <w:uiPriority w:val="9"/>
    <w:semiHidden/>
    <w:rsid w:val="00D30893"/>
    <w:rPr>
      <w:rFonts w:asciiTheme="majorHAnsi" w:eastAsiaTheme="majorEastAsia" w:hAnsiTheme="majorHAnsi" w:cstheme="majorBidi"/>
      <w:sz w:val="36"/>
      <w:szCs w:val="36"/>
    </w:rPr>
  </w:style>
  <w:style w:type="paragraph" w:customStyle="1" w:styleId="Reference">
    <w:name w:val="Reference"/>
    <w:basedOn w:val="Normal"/>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
    <w:name w:val="表格格線1"/>
    <w:basedOn w:val="TableNormal"/>
    <w:next w:val="TableGrid"/>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List4"/>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List4">
    <w:name w:val="List 4"/>
    <w:basedOn w:val="Normal"/>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Normal"/>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Normal"/>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Normal"/>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oli6@xiaom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74BE-459F-43E7-AEB5-DF335FFF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1668</Words>
  <Characters>9514</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Huawei</cp:lastModifiedBy>
  <cp:revision>5</cp:revision>
  <dcterms:created xsi:type="dcterms:W3CDTF">2023-04-18T08:02:00Z</dcterms:created>
  <dcterms:modified xsi:type="dcterms:W3CDTF">2023-04-18T08:29:00Z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ies>
</file>