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94677E">
        <w:rPr>
          <w:rFonts w:eastAsia="宋体"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 xml:space="preserve">[AT121bis-e][428][POS] </w:t>
      </w:r>
      <w:proofErr w:type="spellStart"/>
      <w:r w:rsidR="008D2546" w:rsidRPr="008D2546">
        <w:rPr>
          <w:rFonts w:ascii="Arial" w:hAnsi="Arial" w:cs="Arial"/>
          <w:b/>
          <w:bCs/>
          <w:sz w:val="24"/>
        </w:rPr>
        <w:t>Sidelink</w:t>
      </w:r>
      <w:proofErr w:type="spellEnd"/>
      <w:r w:rsidR="008D2546" w:rsidRPr="008D2546">
        <w:rPr>
          <w:rFonts w:ascii="Arial" w:hAnsi="Arial" w:cs="Arial"/>
          <w:b/>
          <w:bCs/>
          <w:sz w:val="24"/>
        </w:rPr>
        <w:t xml:space="preserve">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sidR="00142E77" w:rsidRPr="00142E77">
        <w:rPr>
          <w:rFonts w:ascii="Arial" w:hAnsi="Arial" w:cs="Arial"/>
          <w:b/>
          <w:bCs/>
          <w:sz w:val="24"/>
        </w:rPr>
        <w:t>NR_pos_enh</w:t>
      </w:r>
      <w:proofErr w:type="spellEnd"/>
      <w:r w:rsidR="00142E77" w:rsidRPr="00142E77">
        <w:rPr>
          <w:rFonts w:ascii="Arial" w:hAnsi="Arial" w:cs="Arial"/>
          <w:b/>
          <w:bCs/>
          <w:sz w:val="24"/>
        </w:rPr>
        <w:t xml:space="preserve">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 xml:space="preserve">[AT121bis-e][428][POS] </w:t>
      </w:r>
      <w:proofErr w:type="spellStart"/>
      <w:r>
        <w:t>Sidelink</w:t>
      </w:r>
      <w:proofErr w:type="spellEnd"/>
      <w:r>
        <w:t xml:space="preserve">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proofErr w:type="spellStart"/>
      <w:r w:rsidR="00A800A7">
        <w:t>Sidelink</w:t>
      </w:r>
      <w:proofErr w:type="spellEnd"/>
      <w:r w:rsidR="00A800A7">
        <w:t xml:space="preserve">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 xml:space="preserve">Discussion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 xml:space="preserve">Further considerations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 Protocol (SLPP) </w:t>
      </w:r>
      <w:proofErr w:type="spellStart"/>
      <w:r w:rsidRPr="00617A45">
        <w:rPr>
          <w:rFonts w:eastAsia="MS Mincho"/>
          <w:szCs w:val="24"/>
          <w:lang w:eastAsia="en-GB"/>
        </w:rPr>
        <w:t>Signaling</w:t>
      </w:r>
      <w:proofErr w:type="spellEnd"/>
      <w:r w:rsidRPr="00617A45">
        <w:rPr>
          <w:rFonts w:eastAsia="MS Mincho"/>
          <w:szCs w:val="24"/>
          <w:lang w:eastAsia="en-GB"/>
        </w:rPr>
        <w:t xml:space="preserve">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 xml:space="preserve">Discussion on </w:t>
      </w:r>
      <w:proofErr w:type="spellStart"/>
      <w:r w:rsidRPr="00617A45">
        <w:rPr>
          <w:rFonts w:eastAsia="MS Mincho"/>
          <w:szCs w:val="24"/>
          <w:lang w:eastAsia="en-GB"/>
        </w:rPr>
        <w:t>sidelink</w:t>
      </w:r>
      <w:proofErr w:type="spellEnd"/>
      <w:r w:rsidRPr="00617A45">
        <w:rPr>
          <w:rFonts w:eastAsia="MS Mincho"/>
          <w:szCs w:val="24"/>
          <w:lang w:eastAsia="en-GB"/>
        </w:rPr>
        <w:t xml:space="preserve">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w:t>
      </w:r>
      <w:proofErr w:type="spellStart"/>
      <w:r>
        <w:rPr>
          <w:rFonts w:hint="eastAsia"/>
          <w:lang w:eastAsia="zh-CN"/>
        </w:rPr>
        <w:t>sidelink</w:t>
      </w:r>
      <w:proofErr w:type="spellEnd"/>
      <w:r>
        <w:rPr>
          <w:rFonts w:hint="eastAsia"/>
          <w:lang w:eastAsia="zh-CN"/>
        </w:rPr>
        <w:t xml:space="preserve">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227E51" w:rsidP="001D0759">
            <w:pPr>
              <w:rPr>
                <w:lang w:eastAsia="zh-CN"/>
              </w:rPr>
            </w:pPr>
            <w:r>
              <w:object w:dxaOrig="13855" w:dyaOrig="6303" w14:anchorId="2DD0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5pt;height:182.15pt" o:ole="">
                  <v:imagedata r:id="rId15" o:title=""/>
                </v:shape>
                <o:OLEObject Type="Embed" ProgID="Visio.Drawing.11" ShapeID="_x0000_i1025" DrawAspect="Content" ObjectID="_1743579480"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227E51" w:rsidP="001D0759">
                  <w:pPr>
                    <w:pStyle w:val="Caption"/>
                  </w:pPr>
                  <w:r>
                    <w:rPr>
                      <w:rFonts w:asciiTheme="minorHAnsi" w:hAnsiTheme="minorHAnsi" w:cstheme="minorBidi"/>
                      <w:sz w:val="22"/>
                      <w:szCs w:val="22"/>
                    </w:rPr>
                    <w:object w:dxaOrig="17160" w:dyaOrig="6016" w14:anchorId="3090272C">
                      <v:shape id="_x0000_i1026" type="#_x0000_t75" style="width:405.15pt;height:145.6pt" o:ole="">
                        <v:imagedata r:id="rId17" o:title=""/>
                      </v:shape>
                      <o:OLEObject Type="Embed" ProgID="Visio.Drawing.15" ShapeID="_x0000_i1026" DrawAspect="Content" ObjectID="_1743579481" r:id="rId18"/>
                    </w:object>
                  </w:r>
                  <w:r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lastRenderedPageBreak/>
              <w:t>R2-2303591 Qualcomm</w:t>
            </w:r>
          </w:p>
        </w:tc>
        <w:tc>
          <w:tcPr>
            <w:tcW w:w="8331" w:type="dxa"/>
          </w:tcPr>
          <w:p w14:paraId="6CB6574E" w14:textId="77777777" w:rsidR="00227E51" w:rsidRDefault="00227E51" w:rsidP="001D0759">
            <w:pPr>
              <w:keepNext/>
              <w:rPr>
                <w:sz w:val="22"/>
                <w:szCs w:val="22"/>
              </w:rPr>
            </w:pPr>
            <w:r>
              <w:object w:dxaOrig="13246" w:dyaOrig="5280" w14:anchorId="253BA152">
                <v:shape id="_x0000_i1027" type="#_x0000_t75" style="width:396pt;height:160.1pt" o:ole="">
                  <v:imagedata r:id="rId19" o:title=""/>
                </v:shape>
                <o:OLEObject Type="Embed" ProgID="Visio.Drawing.15" ShapeID="_x0000_i1027" DrawAspect="Content" ObjectID="_1743579482" r:id="rId20"/>
              </w:object>
            </w:r>
            <w:r w:rsidDel="00B74B2D">
              <w:t xml:space="preserve"> </w:t>
            </w:r>
            <w:bookmarkStart w:id="4" w:name="_Ref126830753"/>
            <w:bookmarkStart w:id="5" w:name="_Hlk126829379"/>
            <w:r>
              <w:t xml:space="preserve">Figure </w:t>
            </w:r>
            <w:r>
              <w:fldChar w:fldCharType="begin"/>
            </w:r>
            <w:r>
              <w:instrText>SEQ Figure \* ARABIC</w:instrText>
            </w:r>
            <w:r>
              <w:fldChar w:fldCharType="separate"/>
            </w:r>
            <w:r>
              <w:rPr>
                <w:noProof/>
              </w:rPr>
              <w:t>2</w:t>
            </w:r>
            <w:r>
              <w:fldChar w:fldCharType="end"/>
            </w:r>
            <w:bookmarkEnd w:id="4"/>
            <w:r>
              <w:t>: UE Positioning Overall Architecture applicable to NG-RAN</w:t>
            </w:r>
            <w:bookmarkEnd w:id="5"/>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6"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6"/>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7"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7"/>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t>R2-2304033 xiaomi</w:t>
            </w:r>
          </w:p>
        </w:tc>
        <w:tc>
          <w:tcPr>
            <w:tcW w:w="8331" w:type="dxa"/>
          </w:tcPr>
          <w:p w14:paraId="1DA6E98C" w14:textId="77777777" w:rsidR="00227E51" w:rsidRDefault="00227E51" w:rsidP="001D0759">
            <w:r>
              <w:object w:dxaOrig="13103" w:dyaOrig="6234" w14:anchorId="7BA89490">
                <v:shape id="Object 2" o:spid="_x0000_i1028" type="#_x0000_t75" style="width:400.3pt;height:191.3pt;mso-wrap-style:square;mso-position-horizontal-relative:page;mso-position-vertical-relative:page" o:ole="">
                  <v:fill o:detectmouseclick="t"/>
                  <v:imagedata r:id="rId21" o:title=""/>
                  <o:lock v:ext="edit" aspectratio="f"/>
                </v:shape>
                <o:OLEObject Type="Embed" ProgID="Visio.Drawing.15" ShapeID="Object 2" DrawAspect="Content" ObjectID="_1743579483" r:id="rId22"/>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27E51" w14:paraId="4EC9F47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227E51" w14:paraId="736C316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D87EDA" w14:paraId="15D50465"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1E39E5">
            <w:pPr>
              <w:pStyle w:val="TAC"/>
              <w:spacing w:before="20" w:after="20"/>
              <w:ind w:left="57" w:right="57"/>
              <w:jc w:val="left"/>
              <w:rPr>
                <w:lang w:eastAsia="zh-CN"/>
              </w:rPr>
            </w:pPr>
            <w:r>
              <w:rPr>
                <w:lang w:eastAsia="zh-CN"/>
              </w:rPr>
              <w:t>OPPO</w:t>
            </w:r>
          </w:p>
        </w:tc>
        <w:tc>
          <w:tcPr>
            <w:tcW w:w="104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1E39E5">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1E39E5">
            <w:pPr>
              <w:pStyle w:val="TAC"/>
              <w:spacing w:before="20" w:after="20"/>
              <w:ind w:left="57" w:right="57"/>
              <w:jc w:val="left"/>
              <w:rPr>
                <w:lang w:eastAsia="zh-CN"/>
              </w:rPr>
            </w:pPr>
          </w:p>
        </w:tc>
      </w:tr>
      <w:tr w:rsidR="00227E51" w14:paraId="670F869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B0D421" w14:textId="77777777" w:rsidR="00227E51" w:rsidRDefault="00227E51" w:rsidP="001D0759">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52C6AC03" w14:textId="77777777" w:rsidR="00227E51" w:rsidRDefault="00227E51" w:rsidP="001D0759">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AC1C782" w14:textId="77777777" w:rsidR="00227E51" w:rsidRDefault="00227E51" w:rsidP="001D0759">
            <w:pPr>
              <w:pStyle w:val="TAC"/>
              <w:spacing w:before="20" w:after="20"/>
              <w:ind w:left="57" w:right="57"/>
              <w:jc w:val="left"/>
              <w:rPr>
                <w:lang w:val="en-US" w:eastAsia="zh-CN"/>
              </w:rPr>
            </w:pPr>
          </w:p>
        </w:tc>
      </w:tr>
      <w:tr w:rsidR="00227E51" w14:paraId="627ECA1E"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AB29D1"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670246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11EFD" w14:textId="77777777" w:rsidR="00227E51" w:rsidRDefault="00227E51" w:rsidP="001D0759">
            <w:pPr>
              <w:pStyle w:val="TAC"/>
              <w:spacing w:before="20" w:after="20"/>
              <w:ind w:left="57" w:right="57"/>
              <w:jc w:val="left"/>
              <w:rPr>
                <w:lang w:eastAsia="zh-CN"/>
              </w:rPr>
            </w:pPr>
          </w:p>
        </w:tc>
      </w:tr>
      <w:tr w:rsidR="00227E51" w14:paraId="477493D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1CC48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AD4564"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4BE3F2" w14:textId="77777777" w:rsidR="00227E51" w:rsidRDefault="00227E51" w:rsidP="001D0759">
            <w:pPr>
              <w:pStyle w:val="TAC"/>
              <w:spacing w:before="20" w:after="20"/>
              <w:ind w:left="57" w:right="57"/>
              <w:jc w:val="left"/>
              <w:rPr>
                <w:lang w:eastAsia="zh-CN"/>
              </w:rPr>
            </w:pPr>
          </w:p>
        </w:tc>
      </w:tr>
      <w:tr w:rsidR="00227E51" w14:paraId="1F714ED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590356"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7E1DEB9"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F2A28F0" w14:textId="77777777" w:rsidR="00227E51" w:rsidRDefault="00227E51" w:rsidP="001D0759">
            <w:pPr>
              <w:pStyle w:val="TAC"/>
              <w:spacing w:before="20" w:after="20"/>
              <w:ind w:left="57" w:right="57"/>
              <w:jc w:val="left"/>
              <w:rPr>
                <w:lang w:eastAsia="zh-CN"/>
              </w:rPr>
            </w:pPr>
          </w:p>
        </w:tc>
      </w:tr>
      <w:tr w:rsidR="00227E51" w14:paraId="2D9D643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A44CD"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227E51" w14:paraId="35D2E58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227E51" w14:paraId="7401E231"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227E51" w14:paraId="49B68569"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8" w:name="OLE_LINK3"/>
      <w:bookmarkStart w:id="9" w:name="OLE_LINK4"/>
      <w:r>
        <w:rPr>
          <w:b/>
          <w:bCs/>
          <w:highlight w:val="yellow"/>
        </w:rPr>
        <w:t>Summary:</w:t>
      </w:r>
      <w:r>
        <w:t xml:space="preserve"> </w:t>
      </w:r>
    </w:p>
    <w:p w14:paraId="01B48AFA" w14:textId="77777777" w:rsidR="006F4DB6" w:rsidRDefault="006F4DB6" w:rsidP="00227E51">
      <w:pPr>
        <w:rPr>
          <w:lang w:eastAsia="zh-CN"/>
        </w:rPr>
      </w:pPr>
    </w:p>
    <w:bookmarkEnd w:id="8"/>
    <w:bookmarkEnd w:id="9"/>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631"/>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2F56D9">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3E6F12" w:rsidP="00E36A3C">
            <w:pPr>
              <w:jc w:val="center"/>
              <w:rPr>
                <w:lang w:eastAsia="zh-CN"/>
              </w:rPr>
            </w:pPr>
            <w:r>
              <w:object w:dxaOrig="12226" w:dyaOrig="9664" w14:anchorId="0D5846FC">
                <v:shape id="_x0000_i1029" type="#_x0000_t75" style="width:419.1pt;height:331.5pt" o:ole="">
                  <v:imagedata r:id="rId23" o:title=""/>
                </v:shape>
                <o:OLEObject Type="Embed" ProgID="Visio.Drawing.11" ShapeID="_x0000_i1029" DrawAspect="Content" ObjectID="_1743579484" r:id="rId24"/>
              </w:object>
            </w:r>
            <w:r w:rsidRPr="00E220E1">
              <w:rPr>
                <w:bCs/>
              </w:rPr>
              <w:t xml:space="preserve"> Figure 2.</w:t>
            </w:r>
            <w:r>
              <w:rPr>
                <w:rFonts w:hint="eastAsia"/>
                <w:bCs/>
              </w:rPr>
              <w:t>3</w:t>
            </w:r>
            <w:r w:rsidRPr="00E220E1">
              <w:rPr>
                <w:bCs/>
              </w:rPr>
              <w:t>-</w:t>
            </w:r>
            <w:r w:rsidRPr="00E220E1">
              <w:rPr>
                <w:rFonts w:hint="eastAsia"/>
                <w:bCs/>
              </w:rPr>
              <w:t>1</w:t>
            </w:r>
            <w:r w:rsidRPr="00E220E1">
              <w:rPr>
                <w:bCs/>
              </w:rPr>
              <w:t xml:space="preserve">: SLPP </w:t>
            </w:r>
            <w:proofErr w:type="spellStart"/>
            <w:r w:rsidRPr="00E220E1">
              <w:rPr>
                <w:bCs/>
              </w:rPr>
              <w:t>signaling</w:t>
            </w:r>
            <w:proofErr w:type="spellEnd"/>
            <w:r w:rsidRPr="00E220E1">
              <w:rPr>
                <w:bCs/>
              </w:rPr>
              <w:t xml:space="preserve"> procedures</w:t>
            </w:r>
            <w:r w:rsidRPr="00E220E1">
              <w:rPr>
                <w:rFonts w:hint="eastAsia"/>
                <w:bCs/>
              </w:rPr>
              <w:t xml:space="preserve"> for OOC </w:t>
            </w:r>
            <w:r>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lastRenderedPageBreak/>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zh-CN"/>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zh-CN"/>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3E6F12" w:rsidP="003E6F12">
            <w:pPr>
              <w:keepNext/>
              <w:jc w:val="center"/>
            </w:pPr>
            <w:r>
              <w:object w:dxaOrig="6151" w:dyaOrig="7201" w14:anchorId="20068679">
                <v:shape id="_x0000_i1030" type="#_x0000_t75" style="width:311.65pt;height:5in" o:ole="">
                  <v:imagedata r:id="rId27" o:title=""/>
                </v:shape>
                <o:OLEObject Type="Embed" ProgID="Visio.Drawing.15" ShapeID="_x0000_i1030" DrawAspect="Content" ObjectID="_1743579485" r:id="rId28"/>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3E6F12" w:rsidP="003E6F12">
            <w:pPr>
              <w:jc w:val="center"/>
              <w:rPr>
                <w:rFonts w:eastAsiaTheme="minorEastAsia"/>
                <w:lang w:eastAsia="zh-CN"/>
              </w:rPr>
            </w:pPr>
            <w:r>
              <w:object w:dxaOrig="16561" w:dyaOrig="19921" w14:anchorId="35618BE7">
                <v:shape id="_x0000_i1031" type="#_x0000_t75" style="width:452.95pt;height:544.85pt" o:ole="">
                  <v:imagedata r:id="rId29" o:title=""/>
                </v:shape>
                <o:OLEObject Type="Embed" ProgID="Visio.Drawing.15" ShapeID="_x0000_i1031" DrawAspect="Content" ObjectID="_1743579486" r:id="rId30"/>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eastAsia="zh-CN"/>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eastAsia="zh-CN"/>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eastAsia="zh-CN"/>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D027C" w14:paraId="385FC403"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CD027C" w14:paraId="7678F69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094"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D87EDA" w14:paraId="02269F4F"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1E39E5">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1E39E5">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CD027C" w14:paraId="424E9F2B"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999E218"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F836C57"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FE0133C" w14:textId="77777777" w:rsidR="00CD027C" w:rsidRDefault="00CD027C" w:rsidP="007F2E73">
            <w:pPr>
              <w:pStyle w:val="TAC"/>
              <w:spacing w:before="20" w:after="20"/>
              <w:ind w:left="57" w:right="57"/>
              <w:jc w:val="left"/>
              <w:rPr>
                <w:lang w:eastAsia="zh-CN"/>
              </w:rPr>
            </w:pPr>
          </w:p>
        </w:tc>
      </w:tr>
      <w:tr w:rsidR="00CD027C" w14:paraId="7F502FCA"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3CFB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77DD7C8"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CBB7A0" w14:textId="77777777" w:rsidR="00CD027C" w:rsidRDefault="00CD027C" w:rsidP="007F2E73">
            <w:pPr>
              <w:pStyle w:val="TAC"/>
              <w:spacing w:before="20" w:after="20"/>
              <w:ind w:left="57" w:right="57"/>
              <w:jc w:val="left"/>
              <w:rPr>
                <w:lang w:eastAsia="zh-CN"/>
              </w:rPr>
            </w:pPr>
          </w:p>
        </w:tc>
      </w:tr>
      <w:tr w:rsidR="00CD027C" w14:paraId="4A63942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46613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10BEC5F"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177C23D" w14:textId="77777777" w:rsidR="00CD027C" w:rsidRDefault="00CD027C" w:rsidP="007F2E73">
            <w:pPr>
              <w:pStyle w:val="TAC"/>
              <w:spacing w:before="20" w:after="20"/>
              <w:ind w:left="57" w:right="57"/>
              <w:jc w:val="left"/>
              <w:rPr>
                <w:lang w:eastAsia="zh-CN"/>
              </w:rPr>
            </w:pPr>
          </w:p>
        </w:tc>
      </w:tr>
      <w:tr w:rsidR="00CD027C" w14:paraId="1D0D997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938390B"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F14BC4"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F45FD7" w14:textId="77777777" w:rsidR="00CD027C" w:rsidRDefault="00CD027C" w:rsidP="007F2E73">
            <w:pPr>
              <w:pStyle w:val="TAC"/>
              <w:spacing w:before="20" w:after="20"/>
              <w:ind w:left="57" w:right="57"/>
              <w:jc w:val="left"/>
              <w:rPr>
                <w:lang w:eastAsia="zh-CN"/>
              </w:rPr>
            </w:pPr>
          </w:p>
        </w:tc>
      </w:tr>
      <w:tr w:rsidR="00CD027C" w14:paraId="244AC06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C451D4"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CD027C" w14:paraId="75297C7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CD027C" w14:paraId="7FB28100"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1E39E5">
            <w:pPr>
              <w:pStyle w:val="TAC"/>
              <w:spacing w:before="20" w:after="20"/>
              <w:ind w:left="57" w:right="57"/>
              <w:jc w:val="left"/>
              <w:rPr>
                <w:lang w:eastAsia="zh-CN"/>
              </w:rPr>
            </w:pPr>
            <w:r>
              <w:rPr>
                <w:lang w:eastAsia="zh-CN"/>
              </w:rPr>
              <w:t xml:space="preserve">If unicast is employed, we prefer to follow the </w:t>
            </w:r>
            <w:proofErr w:type="spellStart"/>
            <w:r>
              <w:rPr>
                <w:lang w:eastAsia="zh-CN"/>
              </w:rPr>
              <w:t>Uu</w:t>
            </w:r>
            <w:proofErr w:type="spellEnd"/>
            <w:r>
              <w:rPr>
                <w:lang w:eastAsia="zh-CN"/>
              </w:rPr>
              <w:t xml:space="preserve"> based positioning implementation, for example, the anchor UE could firstly send the assistance data to the server UE, then the server UE can forward the assistance data to the target UE.</w:t>
            </w:r>
          </w:p>
          <w:p w14:paraId="0484E0AC" w14:textId="77777777" w:rsidR="00D87EDA" w:rsidRDefault="00D87EDA" w:rsidP="001E39E5">
            <w:pPr>
              <w:pStyle w:val="TAC"/>
              <w:spacing w:before="20" w:after="20"/>
              <w:ind w:left="57" w:right="57"/>
              <w:jc w:val="left"/>
              <w:rPr>
                <w:lang w:eastAsia="zh-CN"/>
              </w:rPr>
            </w:pPr>
          </w:p>
          <w:p w14:paraId="78ABDF6D" w14:textId="77777777" w:rsidR="00D87EDA" w:rsidRDefault="00D87EDA" w:rsidP="001E39E5">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1E39E5">
            <w:pPr>
              <w:pStyle w:val="TAC"/>
              <w:spacing w:before="20" w:after="20"/>
              <w:ind w:left="57" w:right="57"/>
              <w:jc w:val="left"/>
              <w:rPr>
                <w:lang w:eastAsia="zh-CN"/>
              </w:rPr>
            </w:pPr>
          </w:p>
          <w:p w14:paraId="534B7F1D" w14:textId="77777777" w:rsidR="00D87EDA" w:rsidRDefault="00D87EDA" w:rsidP="001E39E5">
            <w:pPr>
              <w:pStyle w:val="TAC"/>
              <w:spacing w:before="20" w:after="20"/>
              <w:ind w:left="57" w:right="57"/>
              <w:jc w:val="left"/>
              <w:rPr>
                <w:lang w:eastAsia="zh-CN"/>
              </w:rPr>
            </w:pPr>
          </w:p>
          <w:p w14:paraId="12586C28" w14:textId="77777777" w:rsidR="00D87EDA" w:rsidRDefault="00D87EDA" w:rsidP="001E39E5">
            <w:pPr>
              <w:pStyle w:val="TAC"/>
              <w:spacing w:before="20" w:after="20"/>
              <w:ind w:left="57" w:right="57"/>
              <w:jc w:val="left"/>
              <w:rPr>
                <w:lang w:eastAsia="zh-CN"/>
              </w:rPr>
            </w:pP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9F78D81"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8FC5D23" w14:textId="77777777" w:rsidR="007F2E73" w:rsidRDefault="007F2E73" w:rsidP="007F2E73">
            <w:pPr>
              <w:pStyle w:val="TAC"/>
              <w:spacing w:before="20" w:after="20"/>
              <w:ind w:left="57" w:right="57"/>
              <w:jc w:val="left"/>
              <w:rPr>
                <w:lang w:eastAsia="zh-CN"/>
              </w:rPr>
            </w:pPr>
          </w:p>
        </w:tc>
      </w:tr>
      <w:tr w:rsidR="007F2E73"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C73B587"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E07C59F" w14:textId="77777777" w:rsidR="007F2E73" w:rsidRDefault="007F2E73" w:rsidP="007F2E73">
            <w:pPr>
              <w:pStyle w:val="TAC"/>
              <w:spacing w:before="20" w:after="20"/>
              <w:ind w:left="57" w:right="57"/>
              <w:jc w:val="left"/>
              <w:rPr>
                <w:lang w:eastAsia="zh-CN"/>
              </w:rPr>
            </w:pP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102FD04"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77777777" w:rsidR="007F2E73" w:rsidRDefault="007F2E73" w:rsidP="007F2E73">
            <w:pPr>
              <w:pStyle w:val="TAC"/>
              <w:spacing w:before="20" w:after="20"/>
              <w:ind w:left="57" w:right="57"/>
              <w:jc w:val="left"/>
              <w:rPr>
                <w:lang w:eastAsia="zh-CN"/>
              </w:rPr>
            </w:pPr>
          </w:p>
        </w:tc>
      </w:tr>
      <w:tr w:rsidR="007F2E73" w14:paraId="75D5A0D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1A9CD"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4BE2A2"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422D6E" w14:textId="77777777" w:rsidR="007F2E73" w:rsidRDefault="007F2E73" w:rsidP="007F2E73">
            <w:pPr>
              <w:pStyle w:val="TAC"/>
              <w:spacing w:before="20" w:after="20"/>
              <w:ind w:left="57" w:right="57"/>
              <w:jc w:val="left"/>
              <w:rPr>
                <w:lang w:eastAsia="zh-CN"/>
              </w:rPr>
            </w:pP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0722B3DD" w14:textId="77777777" w:rsidR="007F2E73" w:rsidRDefault="007F2E73"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7D87F9C"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DB1ADE">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DB1ADE">
            <w:pPr>
              <w:pStyle w:val="TAC"/>
              <w:spacing w:before="20" w:after="20"/>
              <w:ind w:left="57" w:right="57"/>
              <w:jc w:val="left"/>
              <w:rPr>
                <w:lang w:eastAsia="zh-CN"/>
              </w:rPr>
            </w:pPr>
          </w:p>
        </w:tc>
      </w:tr>
      <w:tr w:rsidR="00D87EDA" w14:paraId="44B4AC72"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1E39E5">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1E39E5">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24E9BBB1"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35D22C4D" w14:textId="77777777" w:rsidR="000B5A74" w:rsidRDefault="000B5A74" w:rsidP="00DB1ADE">
            <w:pPr>
              <w:pStyle w:val="TAC"/>
              <w:spacing w:before="20" w:after="20"/>
              <w:ind w:left="57" w:right="57"/>
              <w:jc w:val="left"/>
              <w:rPr>
                <w:lang w:val="en-US" w:eastAsia="zh-CN"/>
              </w:rPr>
            </w:pPr>
          </w:p>
        </w:tc>
      </w:tr>
      <w:tr w:rsidR="000B5A74" w14:paraId="0FE621D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E2B39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0B5A74" w:rsidRDefault="000B5A74" w:rsidP="00DB1ADE">
            <w:pPr>
              <w:pStyle w:val="TAC"/>
              <w:spacing w:before="20" w:after="20"/>
              <w:ind w:left="57" w:right="57"/>
              <w:jc w:val="left"/>
              <w:rPr>
                <w:lang w:eastAsia="zh-CN"/>
              </w:rPr>
            </w:pPr>
          </w:p>
        </w:tc>
      </w:tr>
      <w:tr w:rsidR="000B5A74" w14:paraId="7B66406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268DFD"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DB1ADE">
            <w:pPr>
              <w:pStyle w:val="TAC"/>
              <w:spacing w:before="20" w:after="20"/>
              <w:ind w:left="57" w:right="57"/>
              <w:jc w:val="left"/>
              <w:rPr>
                <w:lang w:eastAsia="zh-CN"/>
              </w:rPr>
            </w:pPr>
          </w:p>
        </w:tc>
      </w:tr>
      <w:tr w:rsidR="000B5A74" w14:paraId="4CBBD19A"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1181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6C6F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0B54AB" w14:textId="77777777" w:rsidR="000B5A74" w:rsidRDefault="000B5A74" w:rsidP="00DB1ADE">
            <w:pPr>
              <w:pStyle w:val="TAC"/>
              <w:spacing w:before="20" w:after="20"/>
              <w:ind w:left="57" w:right="57"/>
              <w:jc w:val="left"/>
              <w:rPr>
                <w:lang w:eastAsia="zh-CN"/>
              </w:rPr>
            </w:pPr>
          </w:p>
        </w:tc>
      </w:tr>
      <w:tr w:rsidR="000B5A74" w14:paraId="5ECA941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DB1ADE">
            <w:pPr>
              <w:pStyle w:val="TAC"/>
              <w:spacing w:before="20" w:after="20"/>
              <w:ind w:left="57" w:right="57"/>
              <w:jc w:val="left"/>
              <w:rPr>
                <w:lang w:eastAsia="zh-CN"/>
              </w:rPr>
            </w:pPr>
          </w:p>
        </w:tc>
      </w:tr>
      <w:tr w:rsidR="000B5A74" w14:paraId="0F8BF4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DB1ADE">
            <w:pPr>
              <w:pStyle w:val="TAC"/>
              <w:spacing w:before="20" w:after="20"/>
              <w:ind w:left="57" w:right="57"/>
              <w:jc w:val="left"/>
              <w:rPr>
                <w:lang w:eastAsia="zh-CN"/>
              </w:rPr>
            </w:pPr>
          </w:p>
        </w:tc>
      </w:tr>
      <w:tr w:rsidR="000B5A74" w14:paraId="0ED1D6E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DB1ADE">
            <w:pPr>
              <w:pStyle w:val="TAC"/>
              <w:spacing w:before="20" w:after="20"/>
              <w:ind w:left="57" w:right="57"/>
              <w:jc w:val="left"/>
              <w:rPr>
                <w:lang w:eastAsia="zh-CN"/>
              </w:rPr>
            </w:pPr>
          </w:p>
        </w:tc>
      </w:tr>
      <w:tr w:rsidR="000B5A74" w14:paraId="2478392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DB1ADE">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Pr="006E1D18"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DB1ADE">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6A6CB60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DB1ADE">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DB1ADE">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1E39E5">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1E39E5">
            <w:pPr>
              <w:pStyle w:val="TAC"/>
              <w:spacing w:before="20" w:after="20"/>
              <w:ind w:left="57" w:right="57"/>
              <w:jc w:val="left"/>
              <w:rPr>
                <w:lang w:eastAsia="zh-CN"/>
              </w:rPr>
            </w:pPr>
            <w:r>
              <w:rPr>
                <w:lang w:eastAsia="zh-CN"/>
              </w:rPr>
              <w:t>Agree with Qualcomm</w:t>
            </w:r>
          </w:p>
        </w:tc>
      </w:tr>
      <w:tr w:rsidR="000B5A74" w14:paraId="29E7153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133FCEC5"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11EC1B7C" w14:textId="77777777" w:rsidR="000B5A74" w:rsidRDefault="000B5A74" w:rsidP="00DB1ADE">
            <w:pPr>
              <w:pStyle w:val="TAC"/>
              <w:spacing w:before="20" w:after="20"/>
              <w:ind w:left="57" w:right="57"/>
              <w:jc w:val="left"/>
              <w:rPr>
                <w:lang w:val="en-US" w:eastAsia="zh-CN"/>
              </w:rPr>
            </w:pPr>
          </w:p>
        </w:tc>
      </w:tr>
      <w:tr w:rsidR="000B5A74" w14:paraId="46BB58A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17207A"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745AAEE" w14:textId="77777777" w:rsidR="000B5A74" w:rsidRDefault="000B5A74" w:rsidP="00DB1ADE">
            <w:pPr>
              <w:pStyle w:val="TAC"/>
              <w:spacing w:before="20" w:after="20"/>
              <w:ind w:left="57" w:right="57"/>
              <w:jc w:val="left"/>
              <w:rPr>
                <w:lang w:eastAsia="zh-CN"/>
              </w:rPr>
            </w:pPr>
          </w:p>
        </w:tc>
      </w:tr>
      <w:tr w:rsidR="000B5A74" w14:paraId="388FCBF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F9BEF8C"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C4184C8" w14:textId="77777777" w:rsidR="000B5A74" w:rsidRDefault="000B5A74" w:rsidP="00DB1ADE">
            <w:pPr>
              <w:pStyle w:val="TAC"/>
              <w:spacing w:before="20" w:after="20"/>
              <w:ind w:left="57" w:right="57"/>
              <w:jc w:val="left"/>
              <w:rPr>
                <w:lang w:eastAsia="zh-CN"/>
              </w:rPr>
            </w:pPr>
          </w:p>
        </w:tc>
      </w:tr>
      <w:tr w:rsidR="000B5A74" w14:paraId="01D59F1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09E5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185B9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7F3308" w14:textId="77777777" w:rsidR="000B5A74" w:rsidRDefault="000B5A74" w:rsidP="00DB1ADE">
            <w:pPr>
              <w:pStyle w:val="TAC"/>
              <w:spacing w:before="20" w:after="20"/>
              <w:ind w:left="57" w:right="57"/>
              <w:jc w:val="left"/>
              <w:rPr>
                <w:lang w:eastAsia="zh-CN"/>
              </w:rPr>
            </w:pPr>
          </w:p>
        </w:tc>
      </w:tr>
      <w:tr w:rsidR="000B5A74" w14:paraId="39D8279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0B5A74" w:rsidRDefault="000B5A74" w:rsidP="00DB1ADE">
            <w:pPr>
              <w:pStyle w:val="TAC"/>
              <w:spacing w:before="20" w:after="20"/>
              <w:ind w:left="57" w:right="57"/>
              <w:jc w:val="left"/>
              <w:rPr>
                <w:lang w:eastAsia="zh-CN"/>
              </w:rPr>
            </w:pPr>
          </w:p>
        </w:tc>
      </w:tr>
      <w:tr w:rsidR="000B5A74" w14:paraId="48E1B99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0B5A74" w:rsidRDefault="000B5A74" w:rsidP="00DB1ADE">
            <w:pPr>
              <w:pStyle w:val="TAC"/>
              <w:spacing w:before="20" w:after="20"/>
              <w:ind w:left="57" w:right="57"/>
              <w:jc w:val="left"/>
              <w:rPr>
                <w:lang w:eastAsia="zh-CN"/>
              </w:rPr>
            </w:pPr>
          </w:p>
        </w:tc>
      </w:tr>
      <w:tr w:rsidR="000B5A74" w14:paraId="6755E12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0B5A74" w:rsidRDefault="000B5A74" w:rsidP="00DB1ADE">
            <w:pPr>
              <w:pStyle w:val="TAC"/>
              <w:spacing w:before="20" w:after="20"/>
              <w:ind w:left="57" w:right="57"/>
              <w:jc w:val="left"/>
              <w:rPr>
                <w:lang w:eastAsia="zh-CN"/>
              </w:rPr>
            </w:pPr>
          </w:p>
        </w:tc>
      </w:tr>
      <w:tr w:rsidR="000B5A74" w14:paraId="3FC185C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0B5A74" w:rsidRDefault="000B5A74" w:rsidP="00DB1ADE">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eastAsia="zh-CN"/>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Pr="00ED0ADD">
        <w:object w:dxaOrig="16561" w:dyaOrig="19921" w14:anchorId="62457C1C">
          <v:shape id="_x0000_i1032" type="#_x0000_t75" style="width:221.9pt;height:78.45pt" o:ole="">
            <v:imagedata r:id="rId29" o:title="" cropbottom="49607f" cropleft="3534f" cropright="7863f"/>
          </v:shape>
          <o:OLEObject Type="Embed" ProgID="Visio.Drawing.15" ShapeID="_x0000_i1032" DrawAspect="Content" ObjectID="_1743579487" r:id="rId34"/>
        </w:object>
      </w:r>
    </w:p>
    <w:p w14:paraId="0BEFA6E6" w14:textId="77777777" w:rsidR="000B5A74" w:rsidRDefault="000B5A74" w:rsidP="000B5A74">
      <w:pPr>
        <w:rPr>
          <w:lang w:eastAsia="zh-CN"/>
        </w:rPr>
      </w:pPr>
      <w:r>
        <w:rPr>
          <w:b/>
          <w:bCs/>
        </w:rPr>
        <w:lastRenderedPageBreak/>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1FFFA45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DB1ADE">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1E39E5">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1E39E5">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1E39E5">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1E39E5">
            <w:pPr>
              <w:pStyle w:val="TAC"/>
              <w:spacing w:before="20" w:after="20"/>
              <w:ind w:right="57"/>
              <w:jc w:val="left"/>
              <w:rPr>
                <w:lang w:eastAsia="zh-CN"/>
              </w:rPr>
            </w:pPr>
          </w:p>
          <w:p w14:paraId="034C6467" w14:textId="77777777" w:rsidR="00465DA8" w:rsidRDefault="00465DA8" w:rsidP="001E39E5">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77777777"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14:paraId="03B27A33" w14:textId="77777777"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7106BAB6" w14:textId="77777777" w:rsidR="000B5A74" w:rsidRDefault="000B5A74" w:rsidP="00DB1ADE">
            <w:pPr>
              <w:pStyle w:val="TAC"/>
              <w:spacing w:before="20" w:after="20"/>
              <w:ind w:left="57" w:right="57"/>
              <w:jc w:val="left"/>
              <w:rPr>
                <w:lang w:val="en-US" w:eastAsia="zh-CN"/>
              </w:rPr>
            </w:pPr>
          </w:p>
        </w:tc>
      </w:tr>
      <w:tr w:rsidR="000B5A74" w14:paraId="476EAC45"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6F12B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0B5A74" w:rsidRDefault="000B5A74" w:rsidP="00DB1ADE">
            <w:pPr>
              <w:pStyle w:val="TAC"/>
              <w:spacing w:before="20" w:after="20"/>
              <w:ind w:left="57" w:right="57"/>
              <w:jc w:val="left"/>
              <w:rPr>
                <w:lang w:eastAsia="zh-CN"/>
              </w:rPr>
            </w:pPr>
          </w:p>
        </w:tc>
      </w:tr>
      <w:tr w:rsidR="000B5A74" w14:paraId="62A1BA1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280534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0067420" w14:textId="77777777" w:rsidR="000B5A74" w:rsidRDefault="000B5A74" w:rsidP="00DB1ADE">
            <w:pPr>
              <w:pStyle w:val="TAC"/>
              <w:spacing w:before="20" w:after="20"/>
              <w:ind w:left="57" w:right="57"/>
              <w:jc w:val="left"/>
              <w:rPr>
                <w:lang w:eastAsia="zh-CN"/>
              </w:rPr>
            </w:pPr>
          </w:p>
        </w:tc>
      </w:tr>
      <w:tr w:rsidR="000B5A74" w14:paraId="7693415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D7D6A"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0714306"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424E5DD" w14:textId="77777777" w:rsidR="000B5A74" w:rsidRDefault="000B5A74" w:rsidP="00DB1ADE">
            <w:pPr>
              <w:pStyle w:val="TAC"/>
              <w:spacing w:before="20" w:after="20"/>
              <w:ind w:left="57" w:right="57"/>
              <w:jc w:val="left"/>
              <w:rPr>
                <w:lang w:eastAsia="zh-CN"/>
              </w:rPr>
            </w:pPr>
          </w:p>
        </w:tc>
      </w:tr>
      <w:tr w:rsidR="000B5A74" w14:paraId="233AE7E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0B5A74" w:rsidRDefault="000B5A74" w:rsidP="00DB1ADE">
            <w:pPr>
              <w:pStyle w:val="TAC"/>
              <w:spacing w:before="20" w:after="20"/>
              <w:ind w:left="57" w:right="57"/>
              <w:jc w:val="left"/>
              <w:rPr>
                <w:lang w:eastAsia="zh-CN"/>
              </w:rPr>
            </w:pPr>
          </w:p>
        </w:tc>
      </w:tr>
      <w:tr w:rsidR="000B5A74" w14:paraId="0FB552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0B5A74" w:rsidRDefault="000B5A74" w:rsidP="00DB1ADE">
            <w:pPr>
              <w:pStyle w:val="TAC"/>
              <w:spacing w:before="20" w:after="20"/>
              <w:ind w:left="57" w:right="57"/>
              <w:jc w:val="left"/>
              <w:rPr>
                <w:lang w:eastAsia="zh-CN"/>
              </w:rPr>
            </w:pPr>
          </w:p>
        </w:tc>
      </w:tr>
      <w:tr w:rsidR="000B5A74" w14:paraId="48BBE4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0B5A74" w:rsidRDefault="000B5A74" w:rsidP="00DB1ADE">
            <w:pPr>
              <w:pStyle w:val="TAC"/>
              <w:spacing w:before="20" w:after="20"/>
              <w:ind w:left="57" w:right="57"/>
              <w:jc w:val="left"/>
              <w:rPr>
                <w:lang w:eastAsia="zh-CN"/>
              </w:rPr>
            </w:pPr>
          </w:p>
        </w:tc>
      </w:tr>
      <w:tr w:rsidR="000B5A74" w14:paraId="54A00B4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0B5A74" w:rsidRDefault="000B5A74" w:rsidP="00DB1ADE">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eastAsia="zh-CN"/>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eastAsia="zh-CN"/>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DB1ADE">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DB1ADE">
            <w:pPr>
              <w:pStyle w:val="TAH"/>
              <w:spacing w:before="20" w:after="20"/>
              <w:ind w:left="57" w:right="57"/>
              <w:jc w:val="left"/>
              <w:rPr>
                <w:lang w:eastAsia="zh-CN"/>
              </w:rPr>
            </w:pPr>
            <w:r>
              <w:rPr>
                <w:rFonts w:hint="eastAsia"/>
                <w:lang w:eastAsia="zh-CN"/>
              </w:rPr>
              <w:t>Comments</w:t>
            </w:r>
          </w:p>
        </w:tc>
      </w:tr>
      <w:tr w:rsidR="000B5A74" w14:paraId="5308DDD1"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DB1ADE">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DB1ADE">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1E39E5">
            <w:pPr>
              <w:pStyle w:val="TAC"/>
              <w:spacing w:before="20" w:after="20"/>
              <w:ind w:left="57" w:right="57"/>
              <w:jc w:val="left"/>
              <w:rPr>
                <w:lang w:eastAsia="zh-CN"/>
              </w:rPr>
            </w:pPr>
          </w:p>
        </w:tc>
      </w:tr>
      <w:tr w:rsidR="000B5A74" w14:paraId="32F8F476"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9A7CA03"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4FDAD95" w14:textId="5EA4410A" w:rsidR="000B5A74" w:rsidRDefault="000B5A74" w:rsidP="00DB1ADE">
            <w:pPr>
              <w:pStyle w:val="TAC"/>
              <w:spacing w:before="20" w:after="20"/>
              <w:ind w:left="57" w:right="57"/>
              <w:jc w:val="left"/>
              <w:rPr>
                <w:lang w:eastAsia="zh-CN"/>
              </w:rPr>
            </w:pPr>
          </w:p>
        </w:tc>
      </w:tr>
      <w:tr w:rsidR="000B5A74" w14:paraId="2540FB0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A97F299"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242BC5D" w14:textId="77777777" w:rsidR="000B5A74" w:rsidRDefault="000B5A74" w:rsidP="00DB1ADE">
            <w:pPr>
              <w:pStyle w:val="TAC"/>
              <w:spacing w:before="20" w:after="20"/>
              <w:ind w:left="57" w:right="57"/>
              <w:jc w:val="left"/>
              <w:rPr>
                <w:lang w:eastAsia="zh-CN"/>
              </w:rPr>
            </w:pPr>
          </w:p>
        </w:tc>
      </w:tr>
      <w:tr w:rsidR="000B5A74" w14:paraId="0D1FAE68"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9A0D04F"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9646FBF" w14:textId="77777777" w:rsidR="000B5A74" w:rsidRDefault="000B5A74" w:rsidP="00DB1ADE">
            <w:pPr>
              <w:pStyle w:val="TAC"/>
              <w:spacing w:before="20" w:after="20"/>
              <w:ind w:left="57" w:right="57"/>
              <w:jc w:val="left"/>
              <w:rPr>
                <w:lang w:eastAsia="zh-CN"/>
              </w:rPr>
            </w:pPr>
          </w:p>
        </w:tc>
      </w:tr>
      <w:tr w:rsidR="000B5A74" w14:paraId="68A68B3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729238"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017E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82D808" w14:textId="77777777" w:rsidR="000B5A74" w:rsidRDefault="000B5A74" w:rsidP="00DB1ADE">
            <w:pPr>
              <w:pStyle w:val="TAC"/>
              <w:spacing w:before="20" w:after="20"/>
              <w:ind w:left="57" w:right="57"/>
              <w:jc w:val="left"/>
              <w:rPr>
                <w:lang w:eastAsia="zh-CN"/>
              </w:rPr>
            </w:pPr>
          </w:p>
        </w:tc>
      </w:tr>
      <w:tr w:rsidR="000B5A74" w14:paraId="2917E15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0B5A74" w:rsidRDefault="000B5A74" w:rsidP="00DB1ADE">
            <w:pPr>
              <w:pStyle w:val="TAC"/>
              <w:spacing w:before="20" w:after="20"/>
              <w:ind w:left="57" w:right="57"/>
              <w:jc w:val="left"/>
              <w:rPr>
                <w:lang w:eastAsia="zh-CN"/>
              </w:rPr>
            </w:pPr>
          </w:p>
        </w:tc>
      </w:tr>
      <w:tr w:rsidR="000B5A74" w14:paraId="38ADEB5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0B5A74" w:rsidRDefault="000B5A74" w:rsidP="00DB1ADE">
            <w:pPr>
              <w:pStyle w:val="TAC"/>
              <w:spacing w:before="20" w:after="20"/>
              <w:ind w:left="57" w:right="57"/>
              <w:jc w:val="left"/>
              <w:rPr>
                <w:lang w:eastAsia="zh-CN"/>
              </w:rPr>
            </w:pPr>
          </w:p>
        </w:tc>
      </w:tr>
      <w:tr w:rsidR="000B5A74" w14:paraId="74E5AC4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0B5A74" w:rsidRDefault="000B5A74" w:rsidP="00DB1ADE">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1E39E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1E39E5">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77777777" w:rsidR="00495435" w:rsidRDefault="00495435" w:rsidP="007F2E73">
            <w:pPr>
              <w:pStyle w:val="TAC"/>
              <w:spacing w:before="20" w:after="20"/>
              <w:ind w:left="57" w:right="57"/>
              <w:jc w:val="left"/>
              <w:rPr>
                <w:lang w:val="en-US" w:eastAsia="zh-CN"/>
              </w:rPr>
            </w:pPr>
          </w:p>
        </w:tc>
        <w:tc>
          <w:tcPr>
            <w:tcW w:w="908" w:type="dxa"/>
            <w:tcBorders>
              <w:top w:val="single" w:sz="4" w:space="0" w:color="auto"/>
              <w:left w:val="single" w:sz="4" w:space="0" w:color="auto"/>
              <w:bottom w:val="single" w:sz="4" w:space="0" w:color="auto"/>
              <w:right w:val="single" w:sz="4" w:space="0" w:color="auto"/>
            </w:tcBorders>
          </w:tcPr>
          <w:p w14:paraId="3A7F5977" w14:textId="77777777" w:rsidR="00495435" w:rsidRDefault="00495435" w:rsidP="007F2E73">
            <w:pPr>
              <w:pStyle w:val="TAC"/>
              <w:spacing w:before="20" w:after="20"/>
              <w:ind w:left="57" w:right="57"/>
              <w:jc w:val="left"/>
              <w:rPr>
                <w:lang w:val="en-US" w:eastAsia="zh-CN"/>
              </w:rPr>
            </w:pPr>
          </w:p>
        </w:tc>
        <w:tc>
          <w:tcPr>
            <w:tcW w:w="1012" w:type="dxa"/>
            <w:tcBorders>
              <w:top w:val="single" w:sz="4" w:space="0" w:color="auto"/>
              <w:left w:val="single" w:sz="4" w:space="0" w:color="auto"/>
              <w:bottom w:val="single" w:sz="4" w:space="0" w:color="auto"/>
              <w:right w:val="single" w:sz="4" w:space="0" w:color="auto"/>
            </w:tcBorders>
          </w:tcPr>
          <w:p w14:paraId="4297EF51" w14:textId="77777777" w:rsidR="00495435" w:rsidRDefault="00495435" w:rsidP="007F2E73">
            <w:pPr>
              <w:pStyle w:val="TAC"/>
              <w:spacing w:before="20" w:after="20"/>
              <w:ind w:left="57" w:right="57"/>
              <w:jc w:val="left"/>
              <w:rPr>
                <w:lang w:val="en-US" w:eastAsia="zh-CN"/>
              </w:rPr>
            </w:pPr>
          </w:p>
        </w:tc>
        <w:tc>
          <w:tcPr>
            <w:tcW w:w="6293" w:type="dxa"/>
            <w:tcBorders>
              <w:top w:val="single" w:sz="4" w:space="0" w:color="auto"/>
              <w:left w:val="single" w:sz="4" w:space="0" w:color="auto"/>
              <w:bottom w:val="single" w:sz="4" w:space="0" w:color="auto"/>
              <w:right w:val="single" w:sz="4" w:space="0" w:color="auto"/>
            </w:tcBorders>
          </w:tcPr>
          <w:p w14:paraId="59C4BC08" w14:textId="77777777" w:rsidR="00495435" w:rsidRDefault="00495435" w:rsidP="007F2E73">
            <w:pPr>
              <w:pStyle w:val="TAC"/>
              <w:spacing w:before="20" w:after="20"/>
              <w:ind w:left="57" w:right="57"/>
              <w:jc w:val="left"/>
              <w:rPr>
                <w:lang w:val="en-US" w:eastAsia="zh-CN"/>
              </w:rPr>
            </w:pPr>
          </w:p>
        </w:tc>
      </w:tr>
      <w:tr w:rsidR="0049543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3749D64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26AD6C75"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6268D1B" w14:textId="77777777" w:rsidR="00495435" w:rsidRDefault="00495435" w:rsidP="007F2E73">
            <w:pPr>
              <w:pStyle w:val="TAC"/>
              <w:spacing w:before="20" w:after="20"/>
              <w:ind w:left="57" w:right="57"/>
              <w:jc w:val="left"/>
              <w:rPr>
                <w:lang w:eastAsia="zh-CN"/>
              </w:rPr>
            </w:pP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2C9B04C2"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2125D8B"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59B79E2" w14:textId="77777777" w:rsidR="00495435" w:rsidRDefault="00495435" w:rsidP="007F2E73">
            <w:pPr>
              <w:pStyle w:val="TAC"/>
              <w:spacing w:before="20" w:after="20"/>
              <w:ind w:left="57" w:right="57"/>
              <w:jc w:val="left"/>
              <w:rPr>
                <w:lang w:eastAsia="zh-CN"/>
              </w:rPr>
            </w:pPr>
          </w:p>
        </w:tc>
      </w:tr>
      <w:tr w:rsidR="00495435" w14:paraId="0B1EE11D"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083CDAF"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B76672C"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6860F07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9F585E7" w14:textId="77777777" w:rsidR="00495435" w:rsidRDefault="00495435" w:rsidP="007F2E73">
            <w:pPr>
              <w:pStyle w:val="TAC"/>
              <w:spacing w:before="20" w:after="20"/>
              <w:ind w:left="57" w:right="57"/>
              <w:jc w:val="left"/>
              <w:rPr>
                <w:lang w:eastAsia="zh-CN"/>
              </w:rPr>
            </w:pP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DB1ADE">
            <w:pPr>
              <w:pStyle w:val="TAH"/>
              <w:spacing w:before="20" w:after="20"/>
              <w:ind w:left="57" w:right="57"/>
              <w:jc w:val="left"/>
            </w:pPr>
            <w:r>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DB1ADE">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DB1ADE">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DB1ADE">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465DA8">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1E39E5">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1E39E5">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1E39E5">
            <w:pPr>
              <w:pStyle w:val="TAC"/>
              <w:spacing w:before="20" w:after="20"/>
              <w:ind w:left="57" w:right="57"/>
              <w:jc w:val="left"/>
              <w:rPr>
                <w:lang w:eastAsia="zh-CN"/>
              </w:rPr>
            </w:pPr>
            <w:r>
              <w:rPr>
                <w:lang w:eastAsia="zh-CN"/>
              </w:rPr>
              <w:t xml:space="preserve">We think we could follow the </w:t>
            </w:r>
            <w:proofErr w:type="spellStart"/>
            <w:r>
              <w:rPr>
                <w:lang w:eastAsia="zh-CN"/>
              </w:rPr>
              <w:t>Uu</w:t>
            </w:r>
            <w:proofErr w:type="spellEnd"/>
            <w:r>
              <w:rPr>
                <w:lang w:eastAsia="zh-CN"/>
              </w:rPr>
              <w:t xml:space="preserve">-based positioning procedure, </w:t>
            </w:r>
            <w:proofErr w:type="spellStart"/>
            <w:r>
              <w:rPr>
                <w:lang w:eastAsia="zh-CN"/>
              </w:rPr>
              <w:t>wehre</w:t>
            </w:r>
            <w:proofErr w:type="spellEnd"/>
            <w:r>
              <w:rPr>
                <w:lang w:eastAsia="zh-CN"/>
              </w:rPr>
              <w:t xml:space="preserve"> the positioning method is selected implicitly after the </w:t>
            </w:r>
            <w:proofErr w:type="spellStart"/>
            <w:r>
              <w:rPr>
                <w:lang w:eastAsia="zh-CN"/>
              </w:rPr>
              <w:t>sidelink</w:t>
            </w:r>
            <w:proofErr w:type="spellEnd"/>
            <w:r>
              <w:rPr>
                <w:lang w:eastAsia="zh-CN"/>
              </w:rPr>
              <w:t xml:space="preserve"> positioning capability has been exchanged and is reflected in the LPP </w:t>
            </w:r>
            <w:proofErr w:type="spellStart"/>
            <w:r>
              <w:rPr>
                <w:lang w:eastAsia="zh-CN"/>
              </w:rPr>
              <w:t>ProvideAssistanceData</w:t>
            </w:r>
            <w:proofErr w:type="spellEnd"/>
            <w:r>
              <w:rPr>
                <w:lang w:eastAsia="zh-CN"/>
              </w:rPr>
              <w:t xml:space="preserve"> (which positioning method specific assistance data is provided to the UE).</w:t>
            </w:r>
          </w:p>
        </w:tc>
      </w:tr>
      <w:tr w:rsidR="004B421B" w14:paraId="7F28DBAB"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389ED4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D6036F3" w14:textId="77777777" w:rsidR="004B421B" w:rsidRDefault="004B421B" w:rsidP="004B421B">
            <w:pPr>
              <w:pStyle w:val="TAC"/>
              <w:spacing w:before="20" w:after="20"/>
              <w:ind w:left="57" w:right="57"/>
              <w:jc w:val="left"/>
              <w:rPr>
                <w:lang w:eastAsia="zh-CN"/>
              </w:rPr>
            </w:pPr>
          </w:p>
        </w:tc>
      </w:tr>
      <w:tr w:rsidR="004B421B" w14:paraId="184CD8E7"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DB824BF"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C66A175" w14:textId="77777777" w:rsidR="004B421B" w:rsidRDefault="004B421B" w:rsidP="004B421B">
            <w:pPr>
              <w:pStyle w:val="TAC"/>
              <w:spacing w:before="20" w:after="20"/>
              <w:ind w:left="57" w:right="57"/>
              <w:jc w:val="left"/>
              <w:rPr>
                <w:lang w:eastAsia="zh-CN"/>
              </w:rPr>
            </w:pPr>
          </w:p>
        </w:tc>
      </w:tr>
      <w:tr w:rsidR="004B421B" w14:paraId="24069F5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780F66E1"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01EAB3F6" w14:textId="77777777" w:rsidR="004B421B" w:rsidRDefault="004B421B" w:rsidP="004B421B">
            <w:pPr>
              <w:pStyle w:val="TAC"/>
              <w:spacing w:before="20" w:after="20"/>
              <w:ind w:left="57" w:right="57"/>
              <w:jc w:val="left"/>
              <w:rPr>
                <w:lang w:eastAsia="zh-CN"/>
              </w:rPr>
            </w:pPr>
          </w:p>
        </w:tc>
      </w:tr>
      <w:tr w:rsidR="004B421B" w14:paraId="583F78DE"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D1B7E3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2C5B18A"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4538BF64"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D134B60" w14:textId="77777777" w:rsidR="004B421B" w:rsidRDefault="004B421B" w:rsidP="004B421B">
            <w:pPr>
              <w:pStyle w:val="TAC"/>
              <w:spacing w:before="20" w:after="20"/>
              <w:ind w:left="57" w:right="57"/>
              <w:jc w:val="left"/>
              <w:rPr>
                <w:lang w:eastAsia="zh-CN"/>
              </w:rPr>
            </w:pPr>
          </w:p>
        </w:tc>
      </w:tr>
      <w:tr w:rsidR="004B421B" w14:paraId="7D30009D"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DB1ADE">
            <w:pPr>
              <w:pStyle w:val="TAH"/>
              <w:spacing w:before="20" w:after="20"/>
              <w:ind w:left="57" w:right="57"/>
              <w:jc w:val="left"/>
              <w:rPr>
                <w:lang w:eastAsia="zh-CN"/>
              </w:rPr>
            </w:pPr>
            <w:r>
              <w:rPr>
                <w:rFonts w:hint="eastAsia"/>
                <w:lang w:eastAsia="zh-CN"/>
              </w:rPr>
              <w:t>Comments</w:t>
            </w:r>
          </w:p>
        </w:tc>
      </w:tr>
      <w:tr w:rsidR="00C246FA" w14:paraId="3BFD26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DB1ADE">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DB1ADE">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1E39E5">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1E39E5">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1E39E5">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1E39E5">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77777777" w:rsidR="00C246FA" w:rsidRDefault="00C246FA" w:rsidP="00DB1ADE">
            <w:pPr>
              <w:pStyle w:val="TAC"/>
              <w:spacing w:before="20" w:after="20"/>
              <w:ind w:left="57" w:right="57"/>
              <w:jc w:val="left"/>
              <w:rPr>
                <w:lang w:val="en-US" w:eastAsia="zh-CN"/>
              </w:rPr>
            </w:pPr>
            <w:bookmarkStart w:id="10" w:name="_GoBack"/>
            <w:bookmarkEnd w:id="10"/>
          </w:p>
        </w:tc>
        <w:tc>
          <w:tcPr>
            <w:tcW w:w="1044" w:type="dxa"/>
            <w:tcBorders>
              <w:top w:val="single" w:sz="4" w:space="0" w:color="auto"/>
              <w:left w:val="single" w:sz="4" w:space="0" w:color="auto"/>
              <w:bottom w:val="single" w:sz="4" w:space="0" w:color="auto"/>
              <w:right w:val="single" w:sz="4" w:space="0" w:color="auto"/>
            </w:tcBorders>
          </w:tcPr>
          <w:p w14:paraId="1455A8E3" w14:textId="77777777" w:rsidR="00C246FA" w:rsidRDefault="00C246FA"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DB1ADE">
            <w:pPr>
              <w:pStyle w:val="TAC"/>
              <w:spacing w:before="20" w:after="20"/>
              <w:ind w:left="57" w:right="57"/>
              <w:jc w:val="left"/>
              <w:rPr>
                <w:lang w:val="en-US" w:eastAsia="zh-CN"/>
              </w:rPr>
            </w:pPr>
          </w:p>
        </w:tc>
      </w:tr>
      <w:tr w:rsidR="00C246FA" w14:paraId="1A310127"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FE946A"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DB1ADE">
            <w:pPr>
              <w:pStyle w:val="TAC"/>
              <w:spacing w:before="20" w:after="20"/>
              <w:ind w:left="57" w:right="57"/>
              <w:jc w:val="left"/>
              <w:rPr>
                <w:lang w:eastAsia="zh-CN"/>
              </w:rPr>
            </w:pPr>
          </w:p>
        </w:tc>
      </w:tr>
      <w:tr w:rsidR="00C246FA" w14:paraId="5B0DFD70"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5F3F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06CE016"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BDD7CEA" w14:textId="77777777" w:rsidR="00C246FA" w:rsidRDefault="00C246FA" w:rsidP="00DB1ADE">
            <w:pPr>
              <w:pStyle w:val="TAC"/>
              <w:spacing w:before="20" w:after="20"/>
              <w:ind w:left="57" w:right="57"/>
              <w:jc w:val="left"/>
              <w:rPr>
                <w:lang w:eastAsia="zh-CN"/>
              </w:rPr>
            </w:pPr>
          </w:p>
        </w:tc>
      </w:tr>
      <w:tr w:rsidR="00C246FA" w14:paraId="7BF62D54"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DB1ADE">
            <w:pPr>
              <w:pStyle w:val="TAC"/>
              <w:spacing w:before="20" w:after="20"/>
              <w:ind w:left="57" w:right="57"/>
              <w:jc w:val="left"/>
              <w:rPr>
                <w:lang w:eastAsia="zh-CN"/>
              </w:rPr>
            </w:pPr>
          </w:p>
        </w:tc>
      </w:tr>
      <w:tr w:rsidR="00C246FA" w14:paraId="4F06ECE3"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DB1ADE">
            <w:pPr>
              <w:pStyle w:val="TAC"/>
              <w:spacing w:before="20" w:after="20"/>
              <w:ind w:left="57" w:right="57"/>
              <w:jc w:val="left"/>
              <w:rPr>
                <w:lang w:eastAsia="zh-CN"/>
              </w:rPr>
            </w:pPr>
          </w:p>
        </w:tc>
      </w:tr>
      <w:tr w:rsidR="00C246FA" w14:paraId="74D84B7D"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DB1ADE">
            <w:pPr>
              <w:pStyle w:val="TAC"/>
              <w:spacing w:before="20" w:after="20"/>
              <w:ind w:left="57" w:right="57"/>
              <w:jc w:val="left"/>
              <w:rPr>
                <w:lang w:eastAsia="zh-CN"/>
              </w:rPr>
            </w:pPr>
          </w:p>
        </w:tc>
      </w:tr>
      <w:tr w:rsidR="00C246FA" w14:paraId="29991C1E"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DB1ADE">
            <w:pPr>
              <w:pStyle w:val="TAC"/>
              <w:spacing w:before="20" w:after="20"/>
              <w:ind w:left="57" w:right="57"/>
              <w:jc w:val="left"/>
              <w:rPr>
                <w:lang w:eastAsia="zh-CN"/>
              </w:rPr>
            </w:pPr>
          </w:p>
        </w:tc>
      </w:tr>
      <w:tr w:rsidR="00C246FA" w14:paraId="7B8678FF" w14:textId="77777777"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DB1ADE">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lastRenderedPageBreak/>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9059" w14:textId="77777777" w:rsidR="00297F78" w:rsidRDefault="00297F78" w:rsidP="00104294">
      <w:pPr>
        <w:spacing w:after="0" w:line="240" w:lineRule="auto"/>
      </w:pPr>
      <w:r>
        <w:separator/>
      </w:r>
    </w:p>
  </w:endnote>
  <w:endnote w:type="continuationSeparator" w:id="0">
    <w:p w14:paraId="7A23FA26" w14:textId="77777777" w:rsidR="00297F78" w:rsidRDefault="00297F78"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EAB5" w14:textId="77777777" w:rsidR="00297F78" w:rsidRDefault="00297F78" w:rsidP="00104294">
      <w:pPr>
        <w:spacing w:after="0" w:line="240" w:lineRule="auto"/>
      </w:pPr>
      <w:r>
        <w:separator/>
      </w:r>
    </w:p>
  </w:footnote>
  <w:footnote w:type="continuationSeparator" w:id="0">
    <w:p w14:paraId="2EFF9E95" w14:textId="77777777" w:rsidR="00297F78" w:rsidRDefault="00297F78"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3"/>
  </w:num>
  <w:num w:numId="7">
    <w:abstractNumId w:val="5"/>
  </w:num>
  <w:num w:numId="8">
    <w:abstractNumId w:val="12"/>
  </w:num>
  <w:num w:numId="9">
    <w:abstractNumId w:val="9"/>
  </w:num>
  <w:num w:numId="10">
    <w:abstractNumId w:val="1"/>
  </w:num>
  <w:num w:numId="11">
    <w:abstractNumId w:val="0"/>
  </w:num>
  <w:num w:numId="12">
    <w:abstractNumId w:val="2"/>
  </w:num>
  <w:num w:numId="13">
    <w:abstractNumId w:val="16"/>
  </w:num>
  <w:num w:numId="14">
    <w:abstractNumId w:val="8"/>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3391"/>
    <w:rsid w:val="0048565B"/>
    <w:rsid w:val="004876EE"/>
    <w:rsid w:val="00495435"/>
    <w:rsid w:val="00497003"/>
    <w:rsid w:val="004A10C7"/>
    <w:rsid w:val="004A1F7B"/>
    <w:rsid w:val="004A295A"/>
    <w:rsid w:val="004A3681"/>
    <w:rsid w:val="004A3B99"/>
    <w:rsid w:val="004B1504"/>
    <w:rsid w:val="004B31FA"/>
    <w:rsid w:val="004B421B"/>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6D15"/>
    <w:rsid w:val="007C6E51"/>
    <w:rsid w:val="007D34A4"/>
    <w:rsid w:val="007D51E8"/>
    <w:rsid w:val="007D56EA"/>
    <w:rsid w:val="007D5D33"/>
    <w:rsid w:val="007D791A"/>
    <w:rsid w:val="007E07CA"/>
    <w:rsid w:val="007E36DA"/>
    <w:rsid w:val="007E3A87"/>
    <w:rsid w:val="007E3FDE"/>
    <w:rsid w:val="007E48DA"/>
    <w:rsid w:val="007F2644"/>
    <w:rsid w:val="007F2E08"/>
    <w:rsid w:val="007F2E73"/>
    <w:rsid w:val="007F4932"/>
    <w:rsid w:val="00801D1F"/>
    <w:rsid w:val="00801F05"/>
    <w:rsid w:val="008028A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BCD"/>
    <w:rsid w:val="00976F8A"/>
    <w:rsid w:val="009773F8"/>
    <w:rsid w:val="00980027"/>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62C4"/>
    <w:rsid w:val="00BD773D"/>
    <w:rsid w:val="00BE0E01"/>
    <w:rsid w:val="00BE19E2"/>
    <w:rsid w:val="00BE276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37E0"/>
    <w:rsid w:val="00E9417F"/>
    <w:rsid w:val="00E964A8"/>
    <w:rsid w:val="00E97FE5"/>
    <w:rsid w:val="00EA1D42"/>
    <w:rsid w:val="00EA4691"/>
    <w:rsid w:val="00EA5B37"/>
    <w:rsid w:val="00EA66C9"/>
    <w:rsid w:val="00EB14E0"/>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1849A"/>
  <w15:docId w15:val="{86188E2D-FE4E-4851-8241-C3B7A367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宋体" w:hAnsi="Arial"/>
      <w:b/>
      <w:color w:val="0070C0"/>
      <w:sz w:val="24"/>
      <w:lang w:eastAsia="en-US"/>
    </w:rPr>
  </w:style>
  <w:style w:type="character" w:customStyle="1" w:styleId="CommentSubjectChar">
    <w:name w:val="Comment Subject Char"/>
    <w:basedOn w:val="CommentTextChar"/>
    <w:link w:val="CommentSubject"/>
    <w:qFormat/>
    <w:rPr>
      <w:rFonts w:ascii="Arial" w:eastAsia="宋体"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vsdx"/><Relationship Id="rId26" Type="http://schemas.openxmlformats.org/officeDocument/2006/relationships/image" Target="media/image7.png"/><Relationship Id="rId21" Type="http://schemas.openxmlformats.org/officeDocument/2006/relationships/image" Target="media/image4.emf"/><Relationship Id="rId34" Type="http://schemas.openxmlformats.org/officeDocument/2006/relationships/package" Target="embeddings/Microsoft_Visio_Drawing5.vsdx"/><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package" Target="embeddings/Microsoft_Visio_Drawing1.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oleObject" Target="embeddings/Microsoft_Visio_2003-2010_Drawing1.vsd"/><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3.vsdx"/><Relationship Id="rId36" Type="http://schemas.openxmlformats.org/officeDocument/2006/relationships/image" Target="media/image14.png"/><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image" Target="media/image10.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4.vsdx"/><Relationship Id="rId35" Type="http://schemas.openxmlformats.org/officeDocument/2006/relationships/image" Target="media/image13.png"/><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A3E53E5-5759-4CBF-9B0B-3E4BC8B4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2742</Words>
  <Characters>14536</Characters>
  <Application>Microsoft Office Word</Application>
  <DocSecurity>0</DocSecurity>
  <Lines>238</Lines>
  <Paragraphs>104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OPPO</cp:lastModifiedBy>
  <cp:revision>4</cp:revision>
  <dcterms:created xsi:type="dcterms:W3CDTF">2023-04-21T02:18:00Z</dcterms:created>
  <dcterms:modified xsi:type="dcterms:W3CDTF">2023-04-21T02:25:00Z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