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94677E">
        <w:rPr>
          <w:rFonts w:eastAsia="SimSun"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[AT121bis-e][428][POS]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[AT121bis-e][428][POS]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227E51" w:rsidP="001D0759">
            <w:pPr>
              <w:rPr>
                <w:lang w:eastAsia="zh-CN"/>
              </w:rPr>
            </w:pPr>
            <w:r>
              <w:object w:dxaOrig="13855" w:dyaOrig="6303" w14:anchorId="2DD07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15pt;height:182.05pt" o:ole="">
                  <v:imagedata r:id="rId15" o:title=""/>
                </v:shape>
                <o:OLEObject Type="Embed" ProgID="Visio.Drawing.11" ShapeID="_x0000_i1025" DrawAspect="Content" ObjectID="_1743500564"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227E51" w:rsidP="001D0759">
                  <w:pPr>
                    <w:pStyle w:val="Caption"/>
                  </w:pPr>
                  <w:r>
                    <w:rPr>
                      <w:rFonts w:asciiTheme="minorHAnsi" w:hAnsiTheme="minorHAnsi" w:cstheme="minorBidi"/>
                      <w:sz w:val="22"/>
                      <w:szCs w:val="22"/>
                    </w:rPr>
                    <w:object w:dxaOrig="17160" w:dyaOrig="6016" w14:anchorId="3090272C">
                      <v:shape id="_x0000_i1026" type="#_x0000_t75" style="width:404.75pt;height:145.55pt" o:ole="">
                        <v:imagedata r:id="rId17" o:title=""/>
                      </v:shape>
                      <o:OLEObject Type="Embed" ProgID="Visio.Drawing.15" ShapeID="_x0000_i1026" DrawAspect="Content" ObjectID="_1743500565" r:id="rId18"/>
                    </w:object>
                  </w:r>
                  <w:r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lastRenderedPageBreak/>
              <w:t>R2-2303591 Qualcomm</w:t>
            </w:r>
          </w:p>
        </w:tc>
        <w:tc>
          <w:tcPr>
            <w:tcW w:w="8331" w:type="dxa"/>
          </w:tcPr>
          <w:p w14:paraId="6CB6574E" w14:textId="77777777" w:rsidR="00227E51" w:rsidRDefault="00227E51" w:rsidP="001D0759">
            <w:pPr>
              <w:keepNext/>
              <w:rPr>
                <w:sz w:val="22"/>
                <w:szCs w:val="22"/>
              </w:rPr>
            </w:pPr>
            <w:r>
              <w:object w:dxaOrig="13246" w:dyaOrig="5280" w14:anchorId="253BA152">
                <v:shape id="_x0000_i1027" type="#_x0000_t75" style="width:396pt;height:159.95pt" o:ole="">
                  <v:imagedata r:id="rId19" o:title=""/>
                </v:shape>
                <o:OLEObject Type="Embed" ProgID="Visio.Drawing.15" ShapeID="_x0000_i1027" DrawAspect="Content" ObjectID="_1743500566" r:id="rId20"/>
              </w:object>
            </w:r>
            <w:r w:rsidDel="00B74B2D">
              <w:t xml:space="preserve"> </w:t>
            </w:r>
            <w:bookmarkStart w:id="4" w:name="_Ref126830753"/>
            <w:bookmarkStart w:id="5" w:name="_Hlk126829379"/>
            <w:r>
              <w:t xml:space="preserve">Figure </w:t>
            </w:r>
            <w:r>
              <w:fldChar w:fldCharType="begin"/>
            </w:r>
            <w:r>
              <w:instrText>SEQ Figure \* ARABIC</w:instrText>
            </w:r>
            <w:r>
              <w:fldChar w:fldCharType="separate"/>
            </w:r>
            <w:r>
              <w:rPr>
                <w:noProof/>
              </w:rPr>
              <w:t>2</w:t>
            </w:r>
            <w:r>
              <w:fldChar w:fldCharType="end"/>
            </w:r>
            <w:bookmarkEnd w:id="4"/>
            <w:r>
              <w:t>: UE Positioning Overall Architecture applicable to NG-RAN</w:t>
            </w:r>
            <w:bookmarkEnd w:id="5"/>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6"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6"/>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7"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7"/>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t>R2-2304033 xiaomi</w:t>
            </w:r>
          </w:p>
        </w:tc>
        <w:tc>
          <w:tcPr>
            <w:tcW w:w="8331" w:type="dxa"/>
          </w:tcPr>
          <w:p w14:paraId="1DA6E98C" w14:textId="77777777" w:rsidR="00227E51" w:rsidRDefault="00227E51" w:rsidP="001D0759">
            <w:r>
              <w:object w:dxaOrig="13103" w:dyaOrig="6234" w14:anchorId="7BA89490">
                <v:shape id="Object 2" o:spid="_x0000_i1028" type="#_x0000_t75" style="width:400.1pt;height:191.3pt;mso-wrap-style:square;mso-position-horizontal-relative:page;mso-position-vertical-relative:page" o:ole="">
                  <v:fill o:detectmouseclick="t"/>
                  <v:imagedata r:id="rId21" o:title=""/>
                  <o:lock v:ext="edit" aspectratio="f"/>
                </v:shape>
                <o:OLEObject Type="Embed" ProgID="Visio.Drawing.15" ShapeID="Object 2" DrawAspect="Content" ObjectID="_1743500567" r:id="rId22"/>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27E51" w14:paraId="4EC9F47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227E51" w14:paraId="736C316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r>
              <w:rPr>
                <w:lang w:eastAsia="zh-CN"/>
              </w:rPr>
              <w:t>Yes w</w:t>
            </w:r>
            <w:r w:rsidR="002516A5">
              <w:rPr>
                <w:lang w:eastAsia="zh-CN"/>
              </w:rPr>
              <w:t xml:space="preserve">ith </w:t>
            </w: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227E51" w14:paraId="670F869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B0D421" w14:textId="77777777" w:rsidR="00227E51" w:rsidRDefault="00227E51" w:rsidP="001D0759">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52C6AC03" w14:textId="77777777" w:rsidR="00227E51" w:rsidRDefault="00227E51" w:rsidP="001D0759">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AC1C782" w14:textId="77777777" w:rsidR="00227E51" w:rsidRDefault="00227E51" w:rsidP="001D0759">
            <w:pPr>
              <w:pStyle w:val="TAC"/>
              <w:spacing w:before="20" w:after="20"/>
              <w:ind w:left="57" w:right="57"/>
              <w:jc w:val="left"/>
              <w:rPr>
                <w:lang w:val="en-US" w:eastAsia="zh-CN"/>
              </w:rPr>
            </w:pPr>
          </w:p>
        </w:tc>
      </w:tr>
      <w:tr w:rsidR="00227E51" w14:paraId="627ECA1E"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AB29D1"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670246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11EFD" w14:textId="77777777" w:rsidR="00227E51" w:rsidRDefault="00227E51" w:rsidP="001D0759">
            <w:pPr>
              <w:pStyle w:val="TAC"/>
              <w:spacing w:before="20" w:after="20"/>
              <w:ind w:left="57" w:right="57"/>
              <w:jc w:val="left"/>
              <w:rPr>
                <w:lang w:eastAsia="zh-CN"/>
              </w:rPr>
            </w:pPr>
          </w:p>
        </w:tc>
      </w:tr>
      <w:tr w:rsidR="00227E51" w14:paraId="477493D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1CC48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AD4564"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4BE3F2" w14:textId="77777777" w:rsidR="00227E51" w:rsidRDefault="00227E51" w:rsidP="001D0759">
            <w:pPr>
              <w:pStyle w:val="TAC"/>
              <w:spacing w:before="20" w:after="20"/>
              <w:ind w:left="57" w:right="57"/>
              <w:jc w:val="left"/>
              <w:rPr>
                <w:lang w:eastAsia="zh-CN"/>
              </w:rPr>
            </w:pPr>
          </w:p>
        </w:tc>
      </w:tr>
      <w:tr w:rsidR="00227E51" w14:paraId="1F714ED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590356"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7E1DEB9"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F2A28F0" w14:textId="77777777" w:rsidR="00227E51" w:rsidRDefault="00227E51" w:rsidP="001D0759">
            <w:pPr>
              <w:pStyle w:val="TAC"/>
              <w:spacing w:before="20" w:after="20"/>
              <w:ind w:left="57" w:right="57"/>
              <w:jc w:val="left"/>
              <w:rPr>
                <w:lang w:eastAsia="zh-CN"/>
              </w:rPr>
            </w:pPr>
          </w:p>
        </w:tc>
      </w:tr>
      <w:tr w:rsidR="00227E51" w14:paraId="2D9D643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A44CD"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5E5D3E"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2BD528" w14:textId="77777777" w:rsidR="00227E51" w:rsidRDefault="00227E51" w:rsidP="001D0759">
            <w:pPr>
              <w:pStyle w:val="TAC"/>
              <w:spacing w:before="20" w:after="20"/>
              <w:ind w:left="57" w:right="57"/>
              <w:jc w:val="left"/>
              <w:rPr>
                <w:lang w:eastAsia="zh-CN"/>
              </w:rPr>
            </w:pPr>
          </w:p>
        </w:tc>
      </w:tr>
      <w:tr w:rsidR="00227E51" w14:paraId="35D2E58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227E51" w14:paraId="7401E231"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227E51" w14:paraId="49B68569"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8" w:name="OLE_LINK3"/>
      <w:bookmarkStart w:id="9" w:name="OLE_LINK4"/>
      <w:r>
        <w:rPr>
          <w:b/>
          <w:bCs/>
          <w:highlight w:val="yellow"/>
        </w:rPr>
        <w:t>Summary:</w:t>
      </w:r>
      <w:r>
        <w:t xml:space="preserve"> </w:t>
      </w:r>
    </w:p>
    <w:p w14:paraId="01B48AFA" w14:textId="77777777" w:rsidR="006F4DB6" w:rsidRDefault="006F4DB6" w:rsidP="00227E51">
      <w:pPr>
        <w:rPr>
          <w:lang w:eastAsia="zh-CN"/>
        </w:rPr>
      </w:pPr>
    </w:p>
    <w:bookmarkEnd w:id="8"/>
    <w:bookmarkEnd w:id="9"/>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857"/>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lastRenderedPageBreak/>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2F56D9">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3E6F12" w:rsidP="00E36A3C">
            <w:pPr>
              <w:jc w:val="center"/>
              <w:rPr>
                <w:lang w:eastAsia="zh-CN"/>
              </w:rPr>
            </w:pPr>
            <w:r>
              <w:object w:dxaOrig="12226" w:dyaOrig="9664" w14:anchorId="0D5846FC">
                <v:shape id="_x0000_i1029" type="#_x0000_t75" style="width:419.15pt;height:331.7pt" o:ole="">
                  <v:imagedata r:id="rId23" o:title=""/>
                </v:shape>
                <o:OLEObject Type="Embed" ProgID="Visio.Drawing.11" ShapeID="_x0000_i1029" DrawAspect="Content" ObjectID="_1743500568" r:id="rId24"/>
              </w:object>
            </w:r>
            <w:r w:rsidRPr="00E220E1">
              <w:rPr>
                <w:bCs/>
              </w:rPr>
              <w:t xml:space="preserve"> Figure 2.</w:t>
            </w:r>
            <w:r>
              <w:rPr>
                <w:rFonts w:hint="eastAsia"/>
                <w:bCs/>
              </w:rPr>
              <w:t>3</w:t>
            </w:r>
            <w:r w:rsidRPr="00E220E1">
              <w:rPr>
                <w:bCs/>
              </w:rPr>
              <w:t>-</w:t>
            </w:r>
            <w:r w:rsidRPr="00E220E1">
              <w:rPr>
                <w:rFonts w:hint="eastAsia"/>
                <w:bCs/>
              </w:rPr>
              <w:t>1</w:t>
            </w:r>
            <w:r w:rsidRPr="00E220E1">
              <w:rPr>
                <w:bCs/>
              </w:rPr>
              <w:t>: SLPP signaling procedures</w:t>
            </w:r>
            <w:r w:rsidRPr="00E220E1">
              <w:rPr>
                <w:rFonts w:hint="eastAsia"/>
                <w:bCs/>
              </w:rPr>
              <w:t xml:space="preserve"> for OOC </w:t>
            </w:r>
            <w:r>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lastRenderedPageBreak/>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zh-CN"/>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zh-CN"/>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3E6F12" w:rsidP="003E6F12">
            <w:pPr>
              <w:keepNext/>
              <w:jc w:val="center"/>
            </w:pPr>
            <w:r>
              <w:object w:dxaOrig="6151" w:dyaOrig="7201" w14:anchorId="20068679">
                <v:shape id="_x0000_i1030" type="#_x0000_t75" style="width:311.65pt;height:5in" o:ole="">
                  <v:imagedata r:id="rId27" o:title=""/>
                </v:shape>
                <o:OLEObject Type="Embed" ProgID="Visio.Drawing.15" ShapeID="_x0000_i1030" DrawAspect="Content" ObjectID="_1743500569" r:id="rId28"/>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3E6F12" w:rsidP="003E6F12">
            <w:pPr>
              <w:jc w:val="center"/>
              <w:rPr>
                <w:rFonts w:eastAsiaTheme="minorEastAsia"/>
                <w:lang w:eastAsia="zh-CN"/>
              </w:rPr>
            </w:pPr>
            <w:r>
              <w:object w:dxaOrig="16561" w:dyaOrig="19921" w14:anchorId="35618BE7">
                <v:shape id="_x0000_i1031" type="#_x0000_t75" style="width:453.1pt;height:544.65pt" o:ole="">
                  <v:imagedata r:id="rId29" o:title=""/>
                </v:shape>
                <o:OLEObject Type="Embed" ProgID="Visio.Drawing.15" ShapeID="_x0000_i1031" DrawAspect="Content" ObjectID="_1743500570" r:id="rId30"/>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eastAsia="zh-CN"/>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eastAsia="zh-CN"/>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eastAsia="zh-CN"/>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D027C" w14:paraId="385FC403"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CD027C" w14:paraId="7678F69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CD027C" w14:paraId="424E9F2B"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99E218"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F836C57"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FE0133C" w14:textId="77777777" w:rsidR="00CD027C" w:rsidRDefault="00CD027C" w:rsidP="007F2E73">
            <w:pPr>
              <w:pStyle w:val="TAC"/>
              <w:spacing w:before="20" w:after="20"/>
              <w:ind w:left="57" w:right="57"/>
              <w:jc w:val="left"/>
              <w:rPr>
                <w:lang w:eastAsia="zh-CN"/>
              </w:rPr>
            </w:pPr>
          </w:p>
        </w:tc>
      </w:tr>
      <w:tr w:rsidR="00CD027C" w14:paraId="7F502FCA"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3CFB3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77DD7C8"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CBB7A0" w14:textId="77777777" w:rsidR="00CD027C" w:rsidRDefault="00CD027C" w:rsidP="007F2E73">
            <w:pPr>
              <w:pStyle w:val="TAC"/>
              <w:spacing w:before="20" w:after="20"/>
              <w:ind w:left="57" w:right="57"/>
              <w:jc w:val="left"/>
              <w:rPr>
                <w:lang w:eastAsia="zh-CN"/>
              </w:rPr>
            </w:pPr>
          </w:p>
        </w:tc>
      </w:tr>
      <w:tr w:rsidR="00CD027C" w14:paraId="4A63942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46613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10BEC5F"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177C23D" w14:textId="77777777" w:rsidR="00CD027C" w:rsidRDefault="00CD027C" w:rsidP="007F2E73">
            <w:pPr>
              <w:pStyle w:val="TAC"/>
              <w:spacing w:before="20" w:after="20"/>
              <w:ind w:left="57" w:right="57"/>
              <w:jc w:val="left"/>
              <w:rPr>
                <w:lang w:eastAsia="zh-CN"/>
              </w:rPr>
            </w:pPr>
          </w:p>
        </w:tc>
      </w:tr>
      <w:tr w:rsidR="00CD027C" w14:paraId="1D0D997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38390B"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F14BC4"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FF45FD7" w14:textId="77777777" w:rsidR="00CD027C" w:rsidRDefault="00CD027C" w:rsidP="007F2E73">
            <w:pPr>
              <w:pStyle w:val="TAC"/>
              <w:spacing w:before="20" w:after="20"/>
              <w:ind w:left="57" w:right="57"/>
              <w:jc w:val="left"/>
              <w:rPr>
                <w:lang w:eastAsia="zh-CN"/>
              </w:rPr>
            </w:pPr>
          </w:p>
        </w:tc>
      </w:tr>
      <w:tr w:rsidR="00CD027C" w14:paraId="244AC06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C451D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83FA52"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527007E" w14:textId="77777777" w:rsidR="00CD027C" w:rsidRDefault="00CD027C" w:rsidP="007F2E73">
            <w:pPr>
              <w:pStyle w:val="TAC"/>
              <w:spacing w:before="20" w:after="20"/>
              <w:ind w:left="57" w:right="57"/>
              <w:jc w:val="left"/>
              <w:rPr>
                <w:lang w:eastAsia="zh-CN"/>
              </w:rPr>
            </w:pPr>
          </w:p>
        </w:tc>
      </w:tr>
      <w:tr w:rsidR="00CD027C" w14:paraId="75297C7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CD027C" w14:paraId="7FB28100"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w:t>
            </w:r>
            <w:r>
              <w:rPr>
                <w:lang w:val="en-US" w:eastAsia="zh-CN"/>
              </w:rPr>
              <w:t xml:space="preserve">Capability and Assistance </w:t>
            </w:r>
            <w:r>
              <w:rPr>
                <w:lang w:val="en-US" w:eastAsia="zh-CN"/>
              </w:rPr>
              <w:t xml:space="preserve">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7F2E73" w14:paraId="148DE84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9F78D81"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8FC5D23" w14:textId="77777777" w:rsidR="007F2E73" w:rsidRDefault="007F2E73" w:rsidP="007F2E73">
            <w:pPr>
              <w:pStyle w:val="TAC"/>
              <w:spacing w:before="20" w:after="20"/>
              <w:ind w:left="57" w:right="57"/>
              <w:jc w:val="left"/>
              <w:rPr>
                <w:lang w:eastAsia="zh-CN"/>
              </w:rPr>
            </w:pPr>
          </w:p>
        </w:tc>
      </w:tr>
      <w:tr w:rsidR="007F2E73" w14:paraId="1B354CD7"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C73B587"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E07C59F" w14:textId="77777777" w:rsidR="007F2E73" w:rsidRDefault="007F2E73" w:rsidP="007F2E73">
            <w:pPr>
              <w:pStyle w:val="TAC"/>
              <w:spacing w:before="20" w:after="20"/>
              <w:ind w:left="57" w:right="57"/>
              <w:jc w:val="left"/>
              <w:rPr>
                <w:lang w:eastAsia="zh-CN"/>
              </w:rPr>
            </w:pPr>
          </w:p>
        </w:tc>
      </w:tr>
      <w:tr w:rsidR="007F2E73" w14:paraId="3E9C388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02FD04"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77777777" w:rsidR="007F2E73" w:rsidRDefault="007F2E73" w:rsidP="007F2E73">
            <w:pPr>
              <w:pStyle w:val="TAC"/>
              <w:spacing w:before="20" w:after="20"/>
              <w:ind w:left="57" w:right="57"/>
              <w:jc w:val="left"/>
              <w:rPr>
                <w:lang w:eastAsia="zh-CN"/>
              </w:rPr>
            </w:pPr>
          </w:p>
        </w:tc>
      </w:tr>
      <w:tr w:rsidR="007F2E73" w14:paraId="75D5A0D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1A9CD"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4BE2A2"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422D6E" w14:textId="77777777" w:rsidR="007F2E73" w:rsidRDefault="007F2E73" w:rsidP="007F2E73">
            <w:pPr>
              <w:pStyle w:val="TAC"/>
              <w:spacing w:before="20" w:after="20"/>
              <w:ind w:left="57" w:right="57"/>
              <w:jc w:val="left"/>
              <w:rPr>
                <w:lang w:eastAsia="zh-CN"/>
              </w:rPr>
            </w:pPr>
          </w:p>
        </w:tc>
      </w:tr>
      <w:tr w:rsidR="007F2E73" w14:paraId="7460046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72352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D6E87E3" w14:textId="77777777" w:rsidR="007F2E73" w:rsidRDefault="007F2E73" w:rsidP="007F2E73">
            <w:pPr>
              <w:pStyle w:val="TAC"/>
              <w:spacing w:before="20" w:after="20"/>
              <w:ind w:left="57" w:right="57"/>
              <w:jc w:val="left"/>
              <w:rPr>
                <w:lang w:eastAsia="zh-CN"/>
              </w:rPr>
            </w:pPr>
          </w:p>
        </w:tc>
      </w:tr>
      <w:tr w:rsidR="007F2E73" w14:paraId="39B0B4F4"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0722B3DD" w14:textId="77777777" w:rsidR="007F2E73" w:rsidRDefault="007F2E73"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7D87F9C"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DB1ADE">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DB1ADE">
            <w:pPr>
              <w:pStyle w:val="TAC"/>
              <w:spacing w:before="20" w:after="20"/>
              <w:ind w:left="57" w:right="57"/>
              <w:jc w:val="left"/>
              <w:rPr>
                <w:lang w:eastAsia="zh-CN"/>
              </w:rPr>
            </w:pPr>
          </w:p>
        </w:tc>
      </w:tr>
      <w:tr w:rsidR="000B5A74" w14:paraId="5AFA45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7777777"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24E9BBB1" w14:textId="77777777"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35D22C4D" w14:textId="77777777" w:rsidR="000B5A74" w:rsidRDefault="000B5A74" w:rsidP="00DB1ADE">
            <w:pPr>
              <w:pStyle w:val="TAC"/>
              <w:spacing w:before="20" w:after="20"/>
              <w:ind w:left="57" w:right="57"/>
              <w:jc w:val="left"/>
              <w:rPr>
                <w:lang w:val="en-US" w:eastAsia="zh-CN"/>
              </w:rPr>
            </w:pPr>
          </w:p>
        </w:tc>
      </w:tr>
      <w:tr w:rsidR="000B5A74" w14:paraId="0FE621D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E2B390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0B5A74" w:rsidRDefault="000B5A74" w:rsidP="00DB1ADE">
            <w:pPr>
              <w:pStyle w:val="TAC"/>
              <w:spacing w:before="20" w:after="20"/>
              <w:ind w:left="57" w:right="57"/>
              <w:jc w:val="left"/>
              <w:rPr>
                <w:lang w:eastAsia="zh-CN"/>
              </w:rPr>
            </w:pPr>
          </w:p>
        </w:tc>
      </w:tr>
      <w:tr w:rsidR="000B5A74" w14:paraId="7B66406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268DFD"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DB1ADE">
            <w:pPr>
              <w:pStyle w:val="TAC"/>
              <w:spacing w:before="20" w:after="20"/>
              <w:ind w:left="57" w:right="57"/>
              <w:jc w:val="left"/>
              <w:rPr>
                <w:lang w:eastAsia="zh-CN"/>
              </w:rPr>
            </w:pPr>
          </w:p>
        </w:tc>
      </w:tr>
      <w:tr w:rsidR="000B5A74" w14:paraId="4CBBD19A"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1181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6C6F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0B54AB" w14:textId="77777777" w:rsidR="000B5A74" w:rsidRDefault="000B5A74" w:rsidP="00DB1ADE">
            <w:pPr>
              <w:pStyle w:val="TAC"/>
              <w:spacing w:before="20" w:after="20"/>
              <w:ind w:left="57" w:right="57"/>
              <w:jc w:val="left"/>
              <w:rPr>
                <w:lang w:eastAsia="zh-CN"/>
              </w:rPr>
            </w:pPr>
          </w:p>
        </w:tc>
      </w:tr>
      <w:tr w:rsidR="000B5A74" w14:paraId="5ECA941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5A2B1C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DB1ADE">
            <w:pPr>
              <w:pStyle w:val="TAC"/>
              <w:spacing w:before="20" w:after="20"/>
              <w:ind w:left="57" w:right="57"/>
              <w:jc w:val="left"/>
              <w:rPr>
                <w:lang w:eastAsia="zh-CN"/>
              </w:rPr>
            </w:pPr>
          </w:p>
        </w:tc>
      </w:tr>
      <w:tr w:rsidR="000B5A74" w14:paraId="0F8BF4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DB1ADE">
            <w:pPr>
              <w:pStyle w:val="TAC"/>
              <w:spacing w:before="20" w:after="20"/>
              <w:ind w:left="57" w:right="57"/>
              <w:jc w:val="left"/>
              <w:rPr>
                <w:lang w:eastAsia="zh-CN"/>
              </w:rPr>
            </w:pPr>
          </w:p>
        </w:tc>
      </w:tr>
      <w:tr w:rsidR="000B5A74" w14:paraId="0ED1D6E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DB1ADE">
            <w:pPr>
              <w:pStyle w:val="TAC"/>
              <w:spacing w:before="20" w:after="20"/>
              <w:ind w:left="57" w:right="57"/>
              <w:jc w:val="left"/>
              <w:rPr>
                <w:lang w:eastAsia="zh-CN"/>
              </w:rPr>
            </w:pPr>
          </w:p>
        </w:tc>
      </w:tr>
      <w:tr w:rsidR="000B5A74" w14:paraId="2478392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DB1ADE">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Pr="006E1D18"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DB1ADE">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6A6CB60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DB1ADE">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DB1ADE">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0B5A74" w14:paraId="29E7153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77777777"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133FCEC5" w14:textId="77777777"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11EC1B7C" w14:textId="77777777" w:rsidR="000B5A74" w:rsidRDefault="000B5A74" w:rsidP="00DB1ADE">
            <w:pPr>
              <w:pStyle w:val="TAC"/>
              <w:spacing w:before="20" w:after="20"/>
              <w:ind w:left="57" w:right="57"/>
              <w:jc w:val="left"/>
              <w:rPr>
                <w:lang w:val="en-US" w:eastAsia="zh-CN"/>
              </w:rPr>
            </w:pPr>
          </w:p>
        </w:tc>
      </w:tr>
      <w:tr w:rsidR="000B5A74" w14:paraId="46BB58A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17207A"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745AAEE" w14:textId="77777777" w:rsidR="000B5A74" w:rsidRDefault="000B5A74" w:rsidP="00DB1ADE">
            <w:pPr>
              <w:pStyle w:val="TAC"/>
              <w:spacing w:before="20" w:after="20"/>
              <w:ind w:left="57" w:right="57"/>
              <w:jc w:val="left"/>
              <w:rPr>
                <w:lang w:eastAsia="zh-CN"/>
              </w:rPr>
            </w:pPr>
          </w:p>
        </w:tc>
      </w:tr>
      <w:tr w:rsidR="000B5A74" w14:paraId="388FCBF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9BEF8C"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C4184C8" w14:textId="77777777" w:rsidR="000B5A74" w:rsidRDefault="000B5A74" w:rsidP="00DB1ADE">
            <w:pPr>
              <w:pStyle w:val="TAC"/>
              <w:spacing w:before="20" w:after="20"/>
              <w:ind w:left="57" w:right="57"/>
              <w:jc w:val="left"/>
              <w:rPr>
                <w:lang w:eastAsia="zh-CN"/>
              </w:rPr>
            </w:pPr>
          </w:p>
        </w:tc>
      </w:tr>
      <w:tr w:rsidR="000B5A74" w14:paraId="01D59F1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09E5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185B9B"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7F3308" w14:textId="77777777" w:rsidR="000B5A74" w:rsidRDefault="000B5A74" w:rsidP="00DB1ADE">
            <w:pPr>
              <w:pStyle w:val="TAC"/>
              <w:spacing w:before="20" w:after="20"/>
              <w:ind w:left="57" w:right="57"/>
              <w:jc w:val="left"/>
              <w:rPr>
                <w:lang w:eastAsia="zh-CN"/>
              </w:rPr>
            </w:pPr>
          </w:p>
        </w:tc>
      </w:tr>
      <w:tr w:rsidR="000B5A74" w14:paraId="39D8279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6A3065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6BC06" w14:textId="77777777" w:rsidR="000B5A74" w:rsidRDefault="000B5A74" w:rsidP="00DB1ADE">
            <w:pPr>
              <w:pStyle w:val="TAC"/>
              <w:spacing w:before="20" w:after="20"/>
              <w:ind w:left="57" w:right="57"/>
              <w:jc w:val="left"/>
              <w:rPr>
                <w:lang w:eastAsia="zh-CN"/>
              </w:rPr>
            </w:pPr>
          </w:p>
        </w:tc>
      </w:tr>
      <w:tr w:rsidR="000B5A74" w14:paraId="48E1B99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0B5A74" w:rsidRDefault="000B5A74" w:rsidP="00DB1ADE">
            <w:pPr>
              <w:pStyle w:val="TAC"/>
              <w:spacing w:before="20" w:after="20"/>
              <w:ind w:left="57" w:right="57"/>
              <w:jc w:val="left"/>
              <w:rPr>
                <w:lang w:eastAsia="zh-CN"/>
              </w:rPr>
            </w:pPr>
          </w:p>
        </w:tc>
      </w:tr>
      <w:tr w:rsidR="000B5A74" w14:paraId="6755E12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0B5A74" w:rsidRDefault="000B5A74" w:rsidP="00DB1ADE">
            <w:pPr>
              <w:pStyle w:val="TAC"/>
              <w:spacing w:before="20" w:after="20"/>
              <w:ind w:left="57" w:right="57"/>
              <w:jc w:val="left"/>
              <w:rPr>
                <w:lang w:eastAsia="zh-CN"/>
              </w:rPr>
            </w:pPr>
          </w:p>
        </w:tc>
      </w:tr>
      <w:tr w:rsidR="000B5A74" w14:paraId="3FC185C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0B5A74" w:rsidRDefault="000B5A74" w:rsidP="00DB1ADE">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eastAsia="zh-CN"/>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Pr="00ED0ADD">
        <w:object w:dxaOrig="16561" w:dyaOrig="19921" w14:anchorId="62457C1C">
          <v:shape id="_x0000_i1032" type="#_x0000_t75" style="width:222.15pt;height:78.7pt" o:ole="">
            <v:imagedata r:id="rId29" o:title="" cropbottom="49607f" cropleft="3534f" cropright="7863f"/>
          </v:shape>
          <o:OLEObject Type="Embed" ProgID="Visio.Drawing.15" ShapeID="_x0000_i1032" DrawAspect="Content" ObjectID="_1743500571" r:id="rId34"/>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FFFA45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DB1ADE">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Per our answer to Question 5 s</w:t>
            </w:r>
            <w:r>
              <w:rPr>
                <w:lang w:eastAsia="zh-CN"/>
              </w:rPr>
              <w:t>ince a UE is permitted to undertake any role, we see no need to draw a distinction in which UEs participate in the Discovery procedure</w:t>
            </w:r>
            <w:r>
              <w:rPr>
                <w:lang w:eastAsia="zh-CN"/>
              </w:rPr>
              <w:t xml:space="preserv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0B5A74" w14:paraId="2A35BD3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77777777"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03B27A33" w14:textId="77777777"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7106BAB6" w14:textId="77777777" w:rsidR="000B5A74" w:rsidRDefault="000B5A74" w:rsidP="00DB1ADE">
            <w:pPr>
              <w:pStyle w:val="TAC"/>
              <w:spacing w:before="20" w:after="20"/>
              <w:ind w:left="57" w:right="57"/>
              <w:jc w:val="left"/>
              <w:rPr>
                <w:lang w:val="en-US" w:eastAsia="zh-CN"/>
              </w:rPr>
            </w:pPr>
          </w:p>
        </w:tc>
      </w:tr>
      <w:tr w:rsidR="000B5A74" w14:paraId="476EAC4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6F12B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0B5A74" w:rsidRDefault="000B5A74" w:rsidP="00DB1ADE">
            <w:pPr>
              <w:pStyle w:val="TAC"/>
              <w:spacing w:before="20" w:after="20"/>
              <w:ind w:left="57" w:right="57"/>
              <w:jc w:val="left"/>
              <w:rPr>
                <w:lang w:eastAsia="zh-CN"/>
              </w:rPr>
            </w:pPr>
          </w:p>
        </w:tc>
      </w:tr>
      <w:tr w:rsidR="000B5A74" w14:paraId="62A1BA1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280534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0067420" w14:textId="77777777" w:rsidR="000B5A74" w:rsidRDefault="000B5A74" w:rsidP="00DB1ADE">
            <w:pPr>
              <w:pStyle w:val="TAC"/>
              <w:spacing w:before="20" w:after="20"/>
              <w:ind w:left="57" w:right="57"/>
              <w:jc w:val="left"/>
              <w:rPr>
                <w:lang w:eastAsia="zh-CN"/>
              </w:rPr>
            </w:pPr>
          </w:p>
        </w:tc>
      </w:tr>
      <w:tr w:rsidR="000B5A74" w14:paraId="7693415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D7D6A"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0714306"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424E5DD" w14:textId="77777777" w:rsidR="000B5A74" w:rsidRDefault="000B5A74" w:rsidP="00DB1ADE">
            <w:pPr>
              <w:pStyle w:val="TAC"/>
              <w:spacing w:before="20" w:after="20"/>
              <w:ind w:left="57" w:right="57"/>
              <w:jc w:val="left"/>
              <w:rPr>
                <w:lang w:eastAsia="zh-CN"/>
              </w:rPr>
            </w:pPr>
          </w:p>
        </w:tc>
      </w:tr>
      <w:tr w:rsidR="000B5A74" w14:paraId="233AE7E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67411C3"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DDA1A97" w14:textId="77777777" w:rsidR="000B5A74" w:rsidRDefault="000B5A74" w:rsidP="00DB1ADE">
            <w:pPr>
              <w:pStyle w:val="TAC"/>
              <w:spacing w:before="20" w:after="20"/>
              <w:ind w:left="57" w:right="57"/>
              <w:jc w:val="left"/>
              <w:rPr>
                <w:lang w:eastAsia="zh-CN"/>
              </w:rPr>
            </w:pPr>
          </w:p>
        </w:tc>
      </w:tr>
      <w:tr w:rsidR="000B5A74" w14:paraId="0FB552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0B5A74" w:rsidRDefault="000B5A74" w:rsidP="00DB1ADE">
            <w:pPr>
              <w:pStyle w:val="TAC"/>
              <w:spacing w:before="20" w:after="20"/>
              <w:ind w:left="57" w:right="57"/>
              <w:jc w:val="left"/>
              <w:rPr>
                <w:lang w:eastAsia="zh-CN"/>
              </w:rPr>
            </w:pPr>
          </w:p>
        </w:tc>
      </w:tr>
      <w:tr w:rsidR="000B5A74" w14:paraId="48BBE4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0B5A74" w:rsidRDefault="000B5A74" w:rsidP="00DB1ADE">
            <w:pPr>
              <w:pStyle w:val="TAC"/>
              <w:spacing w:before="20" w:after="20"/>
              <w:ind w:left="57" w:right="57"/>
              <w:jc w:val="left"/>
              <w:rPr>
                <w:lang w:eastAsia="zh-CN"/>
              </w:rPr>
            </w:pPr>
          </w:p>
        </w:tc>
      </w:tr>
      <w:tr w:rsidR="000B5A74" w14:paraId="54A00B4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0B5A74" w:rsidRDefault="000B5A74" w:rsidP="00DB1ADE">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eastAsia="zh-CN"/>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eastAsia="zh-CN"/>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5308DDD1"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DB1ADE">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DB1ADE">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0B5A74" w14:paraId="32F8F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A7CA03"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4FDAD95" w14:textId="5EA4410A" w:rsidR="000B5A74" w:rsidRDefault="000B5A74" w:rsidP="00DB1ADE">
            <w:pPr>
              <w:pStyle w:val="TAC"/>
              <w:spacing w:before="20" w:after="20"/>
              <w:ind w:left="57" w:right="57"/>
              <w:jc w:val="left"/>
              <w:rPr>
                <w:lang w:eastAsia="zh-CN"/>
              </w:rPr>
            </w:pPr>
          </w:p>
        </w:tc>
      </w:tr>
      <w:tr w:rsidR="000B5A74" w14:paraId="2540FB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A97F299"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242BC5D" w14:textId="77777777" w:rsidR="000B5A74" w:rsidRDefault="000B5A74" w:rsidP="00DB1ADE">
            <w:pPr>
              <w:pStyle w:val="TAC"/>
              <w:spacing w:before="20" w:after="20"/>
              <w:ind w:left="57" w:right="57"/>
              <w:jc w:val="left"/>
              <w:rPr>
                <w:lang w:eastAsia="zh-CN"/>
              </w:rPr>
            </w:pPr>
          </w:p>
        </w:tc>
      </w:tr>
      <w:tr w:rsidR="000B5A74" w14:paraId="0D1FAE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A0D04F"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9646FBF" w14:textId="77777777" w:rsidR="000B5A74" w:rsidRDefault="000B5A74" w:rsidP="00DB1ADE">
            <w:pPr>
              <w:pStyle w:val="TAC"/>
              <w:spacing w:before="20" w:after="20"/>
              <w:ind w:left="57" w:right="57"/>
              <w:jc w:val="left"/>
              <w:rPr>
                <w:lang w:eastAsia="zh-CN"/>
              </w:rPr>
            </w:pPr>
          </w:p>
        </w:tc>
      </w:tr>
      <w:tr w:rsidR="000B5A74" w14:paraId="68A68B3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729238"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017EE"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A82D808" w14:textId="77777777" w:rsidR="000B5A74" w:rsidRDefault="000B5A74" w:rsidP="00DB1ADE">
            <w:pPr>
              <w:pStyle w:val="TAC"/>
              <w:spacing w:before="20" w:after="20"/>
              <w:ind w:left="57" w:right="57"/>
              <w:jc w:val="left"/>
              <w:rPr>
                <w:lang w:eastAsia="zh-CN"/>
              </w:rPr>
            </w:pPr>
          </w:p>
        </w:tc>
      </w:tr>
      <w:tr w:rsidR="000B5A74" w14:paraId="2917E1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BC5C7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32FCC4" w14:textId="77777777" w:rsidR="000B5A74" w:rsidRDefault="000B5A74" w:rsidP="00DB1ADE">
            <w:pPr>
              <w:pStyle w:val="TAC"/>
              <w:spacing w:before="20" w:after="20"/>
              <w:ind w:left="57" w:right="57"/>
              <w:jc w:val="left"/>
              <w:rPr>
                <w:lang w:eastAsia="zh-CN"/>
              </w:rPr>
            </w:pPr>
          </w:p>
        </w:tc>
      </w:tr>
      <w:tr w:rsidR="000B5A74" w14:paraId="38ADEB5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0B5A74" w:rsidRDefault="000B5A74" w:rsidP="00DB1ADE">
            <w:pPr>
              <w:pStyle w:val="TAC"/>
              <w:spacing w:before="20" w:after="20"/>
              <w:ind w:left="57" w:right="57"/>
              <w:jc w:val="left"/>
              <w:rPr>
                <w:lang w:eastAsia="zh-CN"/>
              </w:rPr>
            </w:pPr>
          </w:p>
        </w:tc>
      </w:tr>
      <w:tr w:rsidR="000B5A74" w14:paraId="74E5AC4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0B5A74" w:rsidRDefault="000B5A74" w:rsidP="00DB1ADE">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Our view is UE anchor selection can be based on SLPP Capability exchange, subsequent to Discovery</w:t>
            </w:r>
            <w:r>
              <w:rPr>
                <w:lang w:eastAsia="zh-CN"/>
              </w:rPr>
              <w:t xml:space="preserve"> procedures</w:t>
            </w:r>
            <w:r>
              <w:rPr>
                <w:lang w:eastAsia="zh-CN"/>
              </w:rPr>
              <w:t xml:space="preserve">, with Discovery providing information on UE SLPP support.  </w:t>
            </w:r>
          </w:p>
        </w:tc>
      </w:tr>
      <w:tr w:rsidR="00495435" w14:paraId="6B6E754A"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77777777" w:rsidR="00495435" w:rsidRDefault="00495435" w:rsidP="007F2E73">
            <w:pPr>
              <w:pStyle w:val="TAC"/>
              <w:spacing w:before="20" w:after="20"/>
              <w:ind w:left="57" w:right="57"/>
              <w:jc w:val="left"/>
              <w:rPr>
                <w:lang w:val="en-US" w:eastAsia="zh-CN"/>
              </w:rPr>
            </w:pPr>
          </w:p>
        </w:tc>
        <w:tc>
          <w:tcPr>
            <w:tcW w:w="908" w:type="dxa"/>
            <w:tcBorders>
              <w:top w:val="single" w:sz="4" w:space="0" w:color="auto"/>
              <w:left w:val="single" w:sz="4" w:space="0" w:color="auto"/>
              <w:bottom w:val="single" w:sz="4" w:space="0" w:color="auto"/>
              <w:right w:val="single" w:sz="4" w:space="0" w:color="auto"/>
            </w:tcBorders>
          </w:tcPr>
          <w:p w14:paraId="3A7F5977" w14:textId="77777777" w:rsidR="00495435" w:rsidRDefault="00495435" w:rsidP="007F2E73">
            <w:pPr>
              <w:pStyle w:val="TAC"/>
              <w:spacing w:before="20" w:after="20"/>
              <w:ind w:left="57" w:right="57"/>
              <w:jc w:val="left"/>
              <w:rPr>
                <w:lang w:val="en-US" w:eastAsia="zh-CN"/>
              </w:rPr>
            </w:pPr>
          </w:p>
        </w:tc>
        <w:tc>
          <w:tcPr>
            <w:tcW w:w="1012" w:type="dxa"/>
            <w:tcBorders>
              <w:top w:val="single" w:sz="4" w:space="0" w:color="auto"/>
              <w:left w:val="single" w:sz="4" w:space="0" w:color="auto"/>
              <w:bottom w:val="single" w:sz="4" w:space="0" w:color="auto"/>
              <w:right w:val="single" w:sz="4" w:space="0" w:color="auto"/>
            </w:tcBorders>
          </w:tcPr>
          <w:p w14:paraId="4297EF51" w14:textId="77777777" w:rsidR="00495435" w:rsidRDefault="00495435" w:rsidP="007F2E73">
            <w:pPr>
              <w:pStyle w:val="TAC"/>
              <w:spacing w:before="20" w:after="20"/>
              <w:ind w:left="57" w:right="57"/>
              <w:jc w:val="left"/>
              <w:rPr>
                <w:lang w:val="en-US" w:eastAsia="zh-CN"/>
              </w:rPr>
            </w:pPr>
          </w:p>
        </w:tc>
        <w:tc>
          <w:tcPr>
            <w:tcW w:w="6293" w:type="dxa"/>
            <w:tcBorders>
              <w:top w:val="single" w:sz="4" w:space="0" w:color="auto"/>
              <w:left w:val="single" w:sz="4" w:space="0" w:color="auto"/>
              <w:bottom w:val="single" w:sz="4" w:space="0" w:color="auto"/>
              <w:right w:val="single" w:sz="4" w:space="0" w:color="auto"/>
            </w:tcBorders>
          </w:tcPr>
          <w:p w14:paraId="59C4BC08" w14:textId="77777777" w:rsidR="00495435" w:rsidRDefault="00495435" w:rsidP="007F2E73">
            <w:pPr>
              <w:pStyle w:val="TAC"/>
              <w:spacing w:before="20" w:after="20"/>
              <w:ind w:left="57" w:right="57"/>
              <w:jc w:val="left"/>
              <w:rPr>
                <w:lang w:val="en-US" w:eastAsia="zh-CN"/>
              </w:rPr>
            </w:pPr>
          </w:p>
        </w:tc>
      </w:tr>
      <w:tr w:rsidR="00495435" w14:paraId="70004562"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3749D64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26AD6C75"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6268D1B" w14:textId="77777777" w:rsidR="00495435" w:rsidRDefault="00495435" w:rsidP="007F2E73">
            <w:pPr>
              <w:pStyle w:val="TAC"/>
              <w:spacing w:before="20" w:after="20"/>
              <w:ind w:left="57" w:right="57"/>
              <w:jc w:val="left"/>
              <w:rPr>
                <w:lang w:eastAsia="zh-CN"/>
              </w:rPr>
            </w:pPr>
          </w:p>
        </w:tc>
      </w:tr>
      <w:tr w:rsidR="00495435" w14:paraId="589FAB84"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2C9B04C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2125D8B"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59B79E2" w14:textId="77777777" w:rsidR="00495435" w:rsidRDefault="00495435" w:rsidP="007F2E73">
            <w:pPr>
              <w:pStyle w:val="TAC"/>
              <w:spacing w:before="20" w:after="20"/>
              <w:ind w:left="57" w:right="57"/>
              <w:jc w:val="left"/>
              <w:rPr>
                <w:lang w:eastAsia="zh-CN"/>
              </w:rPr>
            </w:pPr>
          </w:p>
        </w:tc>
      </w:tr>
      <w:tr w:rsidR="00495435" w14:paraId="0B1EE11D"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083CDAF"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B76672C"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6860F07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9F585E7" w14:textId="77777777" w:rsidR="00495435" w:rsidRDefault="00495435" w:rsidP="007F2E73">
            <w:pPr>
              <w:pStyle w:val="TAC"/>
              <w:spacing w:before="20" w:after="20"/>
              <w:ind w:left="57" w:right="57"/>
              <w:jc w:val="left"/>
              <w:rPr>
                <w:lang w:eastAsia="zh-CN"/>
              </w:rPr>
            </w:pPr>
          </w:p>
        </w:tc>
      </w:tr>
      <w:tr w:rsidR="00495435" w14:paraId="63F93933"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D59D5A8"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A668949"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AADAE01" w14:textId="77777777" w:rsidR="00495435" w:rsidRDefault="00495435" w:rsidP="007F2E73">
            <w:pPr>
              <w:pStyle w:val="TAC"/>
              <w:spacing w:before="20" w:after="20"/>
              <w:ind w:left="57" w:right="57"/>
              <w:jc w:val="left"/>
              <w:rPr>
                <w:lang w:eastAsia="zh-CN"/>
              </w:rPr>
            </w:pPr>
          </w:p>
        </w:tc>
      </w:tr>
      <w:tr w:rsidR="00495435" w14:paraId="387A3CCC"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83"/>
        <w:gridCol w:w="1635"/>
        <w:gridCol w:w="991"/>
        <w:gridCol w:w="5642"/>
      </w:tblGrid>
      <w:tr w:rsidR="00BF53A1" w14:paraId="06038CE0"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DB1ADE">
            <w:pPr>
              <w:pStyle w:val="TAH"/>
              <w:spacing w:before="20" w:after="20"/>
              <w:ind w:left="57" w:right="57"/>
              <w:jc w:val="left"/>
            </w:pPr>
            <w:r>
              <w:lastRenderedPageBreak/>
              <w:t>Company</w:t>
            </w:r>
          </w:p>
        </w:tc>
        <w:tc>
          <w:tcPr>
            <w:tcW w:w="16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DB1ADE">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9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DB1ADE">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DB1ADE">
            <w:pPr>
              <w:pStyle w:val="TAH"/>
              <w:spacing w:before="20" w:after="20"/>
              <w:ind w:left="57" w:right="57"/>
              <w:jc w:val="left"/>
              <w:rPr>
                <w:lang w:eastAsia="zh-CN"/>
              </w:rPr>
            </w:pPr>
            <w:r>
              <w:rPr>
                <w:rFonts w:hint="eastAsia"/>
                <w:lang w:eastAsia="zh-CN"/>
              </w:rPr>
              <w:t>Comments</w:t>
            </w:r>
          </w:p>
        </w:tc>
      </w:tr>
      <w:tr w:rsidR="004B421B" w14:paraId="5235D873"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r>
              <w:rPr>
                <w:lang w:val="en-US" w:eastAsia="zh-CN"/>
              </w:rPr>
              <w:t>Yes with comments</w:t>
            </w:r>
          </w:p>
        </w:tc>
        <w:tc>
          <w:tcPr>
            <w:tcW w:w="991" w:type="dxa"/>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B421B" w14:paraId="7F28DBAB"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76BD8479"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5F9007D9"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3389ED4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D6036F3" w14:textId="77777777" w:rsidR="004B421B" w:rsidRDefault="004B421B" w:rsidP="004B421B">
            <w:pPr>
              <w:pStyle w:val="TAC"/>
              <w:spacing w:before="20" w:after="20"/>
              <w:ind w:left="57" w:right="57"/>
              <w:jc w:val="left"/>
              <w:rPr>
                <w:lang w:eastAsia="zh-CN"/>
              </w:rPr>
            </w:pPr>
          </w:p>
        </w:tc>
      </w:tr>
      <w:tr w:rsidR="004B421B" w14:paraId="184CD8E7"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5D8035B1"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1A98A9D6"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6DB824BF"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C66A175" w14:textId="77777777" w:rsidR="004B421B" w:rsidRDefault="004B421B" w:rsidP="004B421B">
            <w:pPr>
              <w:pStyle w:val="TAC"/>
              <w:spacing w:before="20" w:after="20"/>
              <w:ind w:left="57" w:right="57"/>
              <w:jc w:val="left"/>
              <w:rPr>
                <w:lang w:eastAsia="zh-CN"/>
              </w:rPr>
            </w:pPr>
          </w:p>
        </w:tc>
      </w:tr>
      <w:tr w:rsidR="004B421B" w14:paraId="24069F56"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5729CFC3"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7A144E5E"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780F66E1"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01EAB3F6" w14:textId="77777777" w:rsidR="004B421B" w:rsidRDefault="004B421B" w:rsidP="004B421B">
            <w:pPr>
              <w:pStyle w:val="TAC"/>
              <w:spacing w:before="20" w:after="20"/>
              <w:ind w:left="57" w:right="57"/>
              <w:jc w:val="left"/>
              <w:rPr>
                <w:lang w:eastAsia="zh-CN"/>
              </w:rPr>
            </w:pPr>
          </w:p>
        </w:tc>
      </w:tr>
      <w:tr w:rsidR="004B421B" w14:paraId="583F78DE"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2D1B7E36"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12C5B18A"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4538BF64"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D134B60" w14:textId="77777777" w:rsidR="004B421B" w:rsidRDefault="004B421B" w:rsidP="004B421B">
            <w:pPr>
              <w:pStyle w:val="TAC"/>
              <w:spacing w:before="20" w:after="20"/>
              <w:ind w:left="57" w:right="57"/>
              <w:jc w:val="left"/>
              <w:rPr>
                <w:lang w:eastAsia="zh-CN"/>
              </w:rPr>
            </w:pPr>
          </w:p>
        </w:tc>
      </w:tr>
      <w:tr w:rsidR="004B421B" w14:paraId="7D30009D"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160CB212"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001812B7"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3692B67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356EF815" w14:textId="77777777" w:rsidR="004B421B" w:rsidRDefault="004B421B" w:rsidP="004B421B">
            <w:pPr>
              <w:pStyle w:val="TAC"/>
              <w:spacing w:before="20" w:after="20"/>
              <w:ind w:left="57" w:right="57"/>
              <w:jc w:val="left"/>
              <w:rPr>
                <w:lang w:eastAsia="zh-CN"/>
              </w:rPr>
            </w:pPr>
          </w:p>
        </w:tc>
      </w:tr>
      <w:tr w:rsidR="004B421B" w14:paraId="412468D6"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4B421B">
        <w:trPr>
          <w:trHeight w:val="240"/>
          <w:jc w:val="center"/>
        </w:trPr>
        <w:tc>
          <w:tcPr>
            <w:tcW w:w="1383" w:type="dxa"/>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DB1ADE">
            <w:pPr>
              <w:pStyle w:val="TAH"/>
              <w:spacing w:before="20" w:after="20"/>
              <w:ind w:left="57" w:right="57"/>
              <w:jc w:val="left"/>
              <w:rPr>
                <w:lang w:eastAsia="zh-CN"/>
              </w:rPr>
            </w:pPr>
            <w:r>
              <w:rPr>
                <w:rFonts w:hint="eastAsia"/>
                <w:lang w:eastAsia="zh-CN"/>
              </w:rPr>
              <w:t>Comments</w:t>
            </w:r>
          </w:p>
        </w:tc>
      </w:tr>
      <w:tr w:rsidR="00C246FA" w14:paraId="3BFD26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DB1ADE">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C246FA" w14:paraId="778DC75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77777777" w:rsidR="00C246FA" w:rsidRDefault="00C246FA"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1455A8E3" w14:textId="77777777" w:rsidR="00C246FA" w:rsidRDefault="00C246FA"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DB1ADE">
            <w:pPr>
              <w:pStyle w:val="TAC"/>
              <w:spacing w:before="20" w:after="20"/>
              <w:ind w:left="57" w:right="57"/>
              <w:jc w:val="left"/>
              <w:rPr>
                <w:lang w:val="en-US" w:eastAsia="zh-CN"/>
              </w:rPr>
            </w:pPr>
          </w:p>
        </w:tc>
      </w:tr>
      <w:tr w:rsidR="00C246FA" w14:paraId="1A31012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FE946A"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DB1ADE">
            <w:pPr>
              <w:pStyle w:val="TAC"/>
              <w:spacing w:before="20" w:after="20"/>
              <w:ind w:left="57" w:right="57"/>
              <w:jc w:val="left"/>
              <w:rPr>
                <w:lang w:eastAsia="zh-CN"/>
              </w:rPr>
            </w:pPr>
          </w:p>
        </w:tc>
      </w:tr>
      <w:tr w:rsidR="00C246FA" w14:paraId="5B0DFD7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5F3F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06CE016"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BDD7CEA" w14:textId="77777777" w:rsidR="00C246FA" w:rsidRDefault="00C246FA" w:rsidP="00DB1ADE">
            <w:pPr>
              <w:pStyle w:val="TAC"/>
              <w:spacing w:before="20" w:after="20"/>
              <w:ind w:left="57" w:right="57"/>
              <w:jc w:val="left"/>
              <w:rPr>
                <w:lang w:eastAsia="zh-CN"/>
              </w:rPr>
            </w:pPr>
          </w:p>
        </w:tc>
      </w:tr>
      <w:tr w:rsidR="00C246FA" w14:paraId="7BF62D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424F8A1"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77777777" w:rsidR="00C246FA" w:rsidRDefault="00C246FA" w:rsidP="00DB1ADE">
            <w:pPr>
              <w:pStyle w:val="TAC"/>
              <w:spacing w:before="20" w:after="20"/>
              <w:ind w:left="57" w:right="57"/>
              <w:jc w:val="left"/>
              <w:rPr>
                <w:lang w:eastAsia="zh-CN"/>
              </w:rPr>
            </w:pPr>
          </w:p>
        </w:tc>
      </w:tr>
      <w:tr w:rsidR="00C246FA" w14:paraId="4F06EC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DB1ADE">
            <w:pPr>
              <w:pStyle w:val="TAC"/>
              <w:spacing w:before="20" w:after="20"/>
              <w:ind w:left="57" w:right="57"/>
              <w:jc w:val="left"/>
              <w:rPr>
                <w:lang w:eastAsia="zh-CN"/>
              </w:rPr>
            </w:pPr>
          </w:p>
        </w:tc>
      </w:tr>
      <w:tr w:rsidR="00C246FA" w14:paraId="74D84B7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DB1ADE">
            <w:pPr>
              <w:pStyle w:val="TAC"/>
              <w:spacing w:before="20" w:after="20"/>
              <w:ind w:left="57" w:right="57"/>
              <w:jc w:val="left"/>
              <w:rPr>
                <w:lang w:eastAsia="zh-CN"/>
              </w:rPr>
            </w:pPr>
          </w:p>
        </w:tc>
      </w:tr>
      <w:tr w:rsidR="00C246FA" w14:paraId="29991C1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DB1ADE">
            <w:pPr>
              <w:pStyle w:val="TAC"/>
              <w:spacing w:before="20" w:after="20"/>
              <w:ind w:left="57" w:right="57"/>
              <w:jc w:val="left"/>
              <w:rPr>
                <w:lang w:eastAsia="zh-CN"/>
              </w:rPr>
            </w:pPr>
          </w:p>
        </w:tc>
      </w:tr>
      <w:tr w:rsidR="00C246FA" w14:paraId="7B8678F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DB1ADE">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84FA" w14:textId="77777777" w:rsidR="003E60B5" w:rsidRDefault="003E60B5" w:rsidP="00104294">
      <w:pPr>
        <w:spacing w:after="0" w:line="240" w:lineRule="auto"/>
      </w:pPr>
      <w:r>
        <w:separator/>
      </w:r>
    </w:p>
  </w:endnote>
  <w:endnote w:type="continuationSeparator" w:id="0">
    <w:p w14:paraId="4AF08103" w14:textId="77777777" w:rsidR="003E60B5" w:rsidRDefault="003E60B5"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C1EC" w14:textId="77777777" w:rsidR="003E60B5" w:rsidRDefault="003E60B5" w:rsidP="00104294">
      <w:pPr>
        <w:spacing w:after="0" w:line="240" w:lineRule="auto"/>
      </w:pPr>
      <w:r>
        <w:separator/>
      </w:r>
    </w:p>
  </w:footnote>
  <w:footnote w:type="continuationSeparator" w:id="0">
    <w:p w14:paraId="15A0AAC9" w14:textId="77777777" w:rsidR="003E60B5" w:rsidRDefault="003E60B5"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361134945">
    <w:abstractNumId w:val="10"/>
  </w:num>
  <w:num w:numId="2" w16cid:durableId="1566336864">
    <w:abstractNumId w:val="6"/>
  </w:num>
  <w:num w:numId="3" w16cid:durableId="108275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8283821">
    <w:abstractNumId w:val="14"/>
  </w:num>
  <w:num w:numId="5" w16cid:durableId="1299991659">
    <w:abstractNumId w:val="7"/>
  </w:num>
  <w:num w:numId="6" w16cid:durableId="903874519">
    <w:abstractNumId w:val="13"/>
  </w:num>
  <w:num w:numId="7" w16cid:durableId="276644930">
    <w:abstractNumId w:val="5"/>
  </w:num>
  <w:num w:numId="8" w16cid:durableId="1986353636">
    <w:abstractNumId w:val="12"/>
  </w:num>
  <w:num w:numId="9" w16cid:durableId="1365859675">
    <w:abstractNumId w:val="9"/>
  </w:num>
  <w:num w:numId="10" w16cid:durableId="2142645614">
    <w:abstractNumId w:val="1"/>
  </w:num>
  <w:num w:numId="11" w16cid:durableId="670450371">
    <w:abstractNumId w:val="0"/>
  </w:num>
  <w:num w:numId="12" w16cid:durableId="273102053">
    <w:abstractNumId w:val="2"/>
  </w:num>
  <w:num w:numId="13" w16cid:durableId="384253553">
    <w:abstractNumId w:val="16"/>
  </w:num>
  <w:num w:numId="14" w16cid:durableId="1312171956">
    <w:abstractNumId w:val="8"/>
  </w:num>
  <w:num w:numId="15" w16cid:durableId="1567063826">
    <w:abstractNumId w:val="3"/>
  </w:num>
  <w:num w:numId="16" w16cid:durableId="824783901">
    <w:abstractNumId w:val="4"/>
  </w:num>
  <w:num w:numId="17" w16cid:durableId="14125864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46B2"/>
    <w:rsid w:val="00476F33"/>
    <w:rsid w:val="00477455"/>
    <w:rsid w:val="004818C0"/>
    <w:rsid w:val="00483391"/>
    <w:rsid w:val="0048565B"/>
    <w:rsid w:val="004876EE"/>
    <w:rsid w:val="00495435"/>
    <w:rsid w:val="00497003"/>
    <w:rsid w:val="004A10C7"/>
    <w:rsid w:val="004A1F7B"/>
    <w:rsid w:val="004A295A"/>
    <w:rsid w:val="004A3681"/>
    <w:rsid w:val="004A3B99"/>
    <w:rsid w:val="004B1504"/>
    <w:rsid w:val="004B31FA"/>
    <w:rsid w:val="004B421B"/>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6D15"/>
    <w:rsid w:val="007C6E51"/>
    <w:rsid w:val="007D34A4"/>
    <w:rsid w:val="007D51E8"/>
    <w:rsid w:val="007D56EA"/>
    <w:rsid w:val="007D5D33"/>
    <w:rsid w:val="007D791A"/>
    <w:rsid w:val="007E07CA"/>
    <w:rsid w:val="007E36DA"/>
    <w:rsid w:val="007E3A87"/>
    <w:rsid w:val="007E3FDE"/>
    <w:rsid w:val="007E48DA"/>
    <w:rsid w:val="007F2644"/>
    <w:rsid w:val="007F2E08"/>
    <w:rsid w:val="007F2E73"/>
    <w:rsid w:val="007F4932"/>
    <w:rsid w:val="00801D1F"/>
    <w:rsid w:val="00801F05"/>
    <w:rsid w:val="008028A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70DB3"/>
    <w:rsid w:val="00971145"/>
    <w:rsid w:val="00971EFC"/>
    <w:rsid w:val="00974BB0"/>
    <w:rsid w:val="00975BCD"/>
    <w:rsid w:val="00976F8A"/>
    <w:rsid w:val="009773F8"/>
    <w:rsid w:val="00980027"/>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10F02"/>
    <w:rsid w:val="00A13B11"/>
    <w:rsid w:val="00A140B0"/>
    <w:rsid w:val="00A143F3"/>
    <w:rsid w:val="00A14F11"/>
    <w:rsid w:val="00A152CF"/>
    <w:rsid w:val="00A170A5"/>
    <w:rsid w:val="00A204CA"/>
    <w:rsid w:val="00A209D6"/>
    <w:rsid w:val="00A2198B"/>
    <w:rsid w:val="00A21CB0"/>
    <w:rsid w:val="00A22738"/>
    <w:rsid w:val="00A2454F"/>
    <w:rsid w:val="00A24D2D"/>
    <w:rsid w:val="00A25486"/>
    <w:rsid w:val="00A3101F"/>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E98"/>
    <w:rsid w:val="00B70847"/>
    <w:rsid w:val="00B71506"/>
    <w:rsid w:val="00B7154D"/>
    <w:rsid w:val="00B71D27"/>
    <w:rsid w:val="00B73CA3"/>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62C4"/>
    <w:rsid w:val="00BD773D"/>
    <w:rsid w:val="00BE0E01"/>
    <w:rsid w:val="00BE19E2"/>
    <w:rsid w:val="00BE276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54BE"/>
    <w:rsid w:val="00D866C9"/>
    <w:rsid w:val="00D87E00"/>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DB4"/>
    <w:rsid w:val="00DC1642"/>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1BE6"/>
    <w:rsid w:val="00E82919"/>
    <w:rsid w:val="00E83697"/>
    <w:rsid w:val="00E859B6"/>
    <w:rsid w:val="00E8761C"/>
    <w:rsid w:val="00E91B4E"/>
    <w:rsid w:val="00E937E0"/>
    <w:rsid w:val="00E9417F"/>
    <w:rsid w:val="00E964A8"/>
    <w:rsid w:val="00E97FE5"/>
    <w:rsid w:val="00EA1D42"/>
    <w:rsid w:val="00EA4691"/>
    <w:rsid w:val="00EA5B37"/>
    <w:rsid w:val="00EA66C9"/>
    <w:rsid w:val="00EB14E0"/>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1849A"/>
  <w15:docId w15:val="{86188E2D-FE4E-4851-8241-C3B7A367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package" Target="embeddings/Microsoft_Visio_Drawing5.vsdx"/><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package" Target="embeddings/Microsoft_Visio_Drawing1.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oleObject" Target="embeddings/Microsoft_Visio_2003-2010_Drawing1.vsd"/><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3.vsdx"/><Relationship Id="rId36" Type="http://schemas.openxmlformats.org/officeDocument/2006/relationships/image" Target="media/image14.png"/><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image" Target="media/image10.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4.vsdx"/><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4E69D7A-3FE7-4C29-901F-E2159C5B2B4D}">
  <ds:schemaRefs>
    <ds:schemaRef ds:uri="http://schemas.openxmlformats.org/officeDocument/2006/bibliography"/>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Qualcomm</cp:lastModifiedBy>
  <cp:revision>24</cp:revision>
  <dcterms:created xsi:type="dcterms:W3CDTF">2023-04-20T15:43:00Z</dcterms:created>
  <dcterms:modified xsi:type="dcterms:W3CDTF">2023-04-20T19:48:00Z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