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5E0E29E3" w:rsidR="009D3425" w:rsidRDefault="009D3425" w:rsidP="009D3425">
      <w:pPr>
        <w:pBdr>
          <w:bottom w:val="single" w:sz="4" w:space="1" w:color="auto"/>
        </w:pBdr>
        <w:spacing w:after="0"/>
        <w:rPr>
          <w:rFonts w:ascii="Arial" w:hAnsi="Arial" w:cs="Arial"/>
        </w:rPr>
      </w:pPr>
    </w:p>
    <w:p w14:paraId="6069C04E" w14:textId="77777777" w:rsidR="00007B34" w:rsidRPr="009D3425" w:rsidRDefault="00007B34"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7ED0C456" w14:textId="57EC2CBC" w:rsidR="009D3425" w:rsidRDefault="0061220F" w:rsidP="009D3425">
      <w:pPr>
        <w:spacing w:after="0"/>
        <w:rPr>
          <w:rFonts w:ascii="Arial" w:eastAsia="Calibri" w:hAnsi="Arial" w:cs="Arial"/>
        </w:rPr>
      </w:pPr>
      <w:r w:rsidRPr="0061220F">
        <w:rPr>
          <w:rFonts w:ascii="Arial" w:eastAsia="Calibri" w:hAnsi="Arial" w:cs="Arial"/>
        </w:rPr>
        <w:t>RAN2 will wait for RAN1 input on requirements and solutions for simultaneous location measurements of a target UE and a PRU.</w:t>
      </w:r>
      <w:r w:rsidR="00E15CF8">
        <w:rPr>
          <w:rFonts w:ascii="Arial" w:eastAsia="Calibri" w:hAnsi="Arial" w:cs="Arial"/>
        </w:rPr>
        <w:t xml:space="preserve"> </w:t>
      </w:r>
    </w:p>
    <w:p w14:paraId="1A7D0E34" w14:textId="77777777" w:rsidR="002B53C9" w:rsidRDefault="002B53C9" w:rsidP="009D3425">
      <w:pPr>
        <w:spacing w:after="0"/>
        <w:rPr>
          <w:rFonts w:ascii="Arial" w:eastAsia="Calibri" w:hAnsi="Arial" w:cs="Arial"/>
        </w:rPr>
      </w:pPr>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A PRU should be able to report</w:t>
      </w:r>
    </w:p>
    <w:p w14:paraId="211FAED4" w14:textId="7B48E40F"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(a) the location coordinates</w:t>
      </w:r>
      <w:r w:rsidR="003F244C">
        <w:rPr>
          <w:rFonts w:ascii="Arial" w:hAnsi="Arial" w:cs="Arial"/>
        </w:rPr>
        <w:t xml:space="preserve"> and</w:t>
      </w:r>
      <w:r w:rsidR="003F244C" w:rsidRPr="003F244C">
        <w:rPr>
          <w:rFonts w:ascii="Arial" w:hAnsi="Arial" w:cs="Arial"/>
        </w:rPr>
        <w:t xml:space="preserve"> associated location quality/uncertainty</w:t>
      </w:r>
      <w:r w:rsidRPr="009D3425">
        <w:rPr>
          <w:rFonts w:ascii="Arial" w:hAnsi="Arial" w:cs="Arial"/>
        </w:rPr>
        <w:t xml:space="preserve">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7421DCFB" w14:textId="77777777" w:rsidR="00F11278"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(c) the location coordinates </w:t>
      </w:r>
      <w:r w:rsidR="003F244C">
        <w:rPr>
          <w:rFonts w:ascii="Arial" w:hAnsi="Arial" w:cs="Arial"/>
        </w:rPr>
        <w:t>and</w:t>
      </w:r>
      <w:r w:rsidR="003F244C" w:rsidRPr="003F244C">
        <w:rPr>
          <w:rFonts w:ascii="Arial" w:hAnsi="Arial" w:cs="Arial"/>
        </w:rPr>
        <w:t xml:space="preserve"> associated location quality/uncertainty</w:t>
      </w:r>
      <w:r w:rsidR="003F244C" w:rsidRPr="009D3425">
        <w:rPr>
          <w:rFonts w:ascii="Arial" w:hAnsi="Arial" w:cs="Arial"/>
        </w:rPr>
        <w:t xml:space="preserve"> </w:t>
      </w:r>
      <w:r w:rsidRPr="009D3425">
        <w:rPr>
          <w:rFonts w:ascii="Arial" w:hAnsi="Arial" w:cs="Arial"/>
        </w:rPr>
        <w:t>of the PRU together with any</w:t>
      </w:r>
    </w:p>
    <w:p w14:paraId="4DD40DC5" w14:textId="0DF4A9C1"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 </w:t>
      </w:r>
      <w:r w:rsidR="00F11278">
        <w:rPr>
          <w:rFonts w:ascii="Arial" w:hAnsi="Arial" w:cs="Arial"/>
        </w:rPr>
        <w:t xml:space="preserve">  </w:t>
      </w:r>
      <w:r w:rsidRPr="009D3425">
        <w:rPr>
          <w:rFonts w:ascii="Arial" w:hAnsi="Arial" w:cs="Arial"/>
        </w:rPr>
        <w:t>performed location measurements,</w:t>
      </w:r>
    </w:p>
    <w:p w14:paraId="5B211867" w14:textId="54035E2E" w:rsidR="009D3425" w:rsidRDefault="009D3425" w:rsidP="009D3425">
      <w:pPr>
        <w:tabs>
          <w:tab w:val="center" w:pos="4153"/>
          <w:tab w:val="right" w:pos="8306"/>
        </w:tabs>
        <w:spacing w:after="0"/>
        <w:rPr>
          <w:rFonts w:ascii="Arial" w:hAnsi="Arial" w:cs="Arial"/>
        </w:rPr>
      </w:pPr>
      <w:r w:rsidRPr="001F2F1C">
        <w:rPr>
          <w:rFonts w:ascii="Arial" w:hAnsi="Arial" w:cs="Arial"/>
        </w:rPr>
        <w:t>where location measurements above include the currently defined location measurements in LPP and potential new location measurements defined in Rel-18</w:t>
      </w:r>
      <w:r w:rsidR="00F349E0">
        <w:rPr>
          <w:rFonts w:ascii="Arial" w:hAnsi="Arial" w:cs="Arial"/>
        </w:rPr>
        <w:t>;</w:t>
      </w:r>
      <w:r w:rsidRPr="001F2F1C">
        <w:rPr>
          <w:rFonts w:ascii="Arial" w:hAnsi="Arial" w:cs="Arial"/>
        </w:rPr>
        <w:t xml:space="preserve"> and location coordinates </w:t>
      </w:r>
      <w:r w:rsidR="00A0676A" w:rsidRPr="00A0676A">
        <w:rPr>
          <w:rFonts w:ascii="Arial" w:hAnsi="Arial" w:cs="Arial"/>
        </w:rPr>
        <w:t>and location quality/uncertainty provide the location and quality of the reported</w:t>
      </w:r>
      <w:r w:rsidR="00A32C4D">
        <w:rPr>
          <w:rFonts w:ascii="Arial" w:hAnsi="Arial" w:cs="Arial"/>
        </w:rPr>
        <w:t xml:space="preserve"> </w:t>
      </w:r>
      <w:r w:rsidR="00A0676A" w:rsidRPr="00A0676A">
        <w:rPr>
          <w:rFonts w:ascii="Arial" w:hAnsi="Arial" w:cs="Arial"/>
        </w:rPr>
        <w:t>location, respectively</w:t>
      </w:r>
      <w:r w:rsidR="005B2167">
        <w:rPr>
          <w:rFonts w:ascii="Arial" w:hAnsi="Arial" w:cs="Arial"/>
        </w:rPr>
        <w:t>,</w:t>
      </w:r>
      <w:r w:rsidR="00A0676A" w:rsidRPr="00A0676A">
        <w:rPr>
          <w:rFonts w:ascii="Arial" w:hAnsi="Arial" w:cs="Arial"/>
        </w:rPr>
        <w:t xml:space="preserve"> </w:t>
      </w:r>
      <w:r w:rsidRPr="001F2F1C">
        <w:rPr>
          <w:rFonts w:ascii="Arial" w:hAnsi="Arial" w:cs="Arial"/>
        </w:rPr>
        <w:t>of the PRU.</w:t>
      </w:r>
    </w:p>
    <w:p w14:paraId="2040EF7E" w14:textId="77777777" w:rsidR="00007B34" w:rsidRPr="001F2F1C" w:rsidRDefault="00007B34" w:rsidP="009D3425">
      <w:pPr>
        <w:tabs>
          <w:tab w:val="center" w:pos="4153"/>
          <w:tab w:val="right" w:pos="8306"/>
        </w:tabs>
        <w:spacing w:after="0"/>
        <w:rPr>
          <w:rFonts w:ascii="Arial" w:hAnsi="Arial" w:cs="Arial"/>
        </w:rPr>
      </w:pPr>
    </w:p>
    <w:p w14:paraId="0F6D7E89" w14:textId="77777777" w:rsidR="009D3425" w:rsidRPr="001F2F1C"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lastRenderedPageBreak/>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9"/>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1E36" w14:textId="77777777" w:rsidR="00ED4D44" w:rsidRDefault="00ED4D44">
      <w:r>
        <w:separator/>
      </w:r>
    </w:p>
  </w:endnote>
  <w:endnote w:type="continuationSeparator" w:id="0">
    <w:p w14:paraId="716F3A16" w14:textId="77777777" w:rsidR="00ED4D44" w:rsidRDefault="00ED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71EDD55E" w:rsidR="004A456D" w:rsidRDefault="004A456D">
        <w:pPr>
          <w:pStyle w:val="Footer"/>
        </w:pPr>
        <w:r>
          <w:rPr>
            <w:noProof w:val="0"/>
          </w:rPr>
          <w:fldChar w:fldCharType="begin"/>
        </w:r>
        <w:r>
          <w:instrText xml:space="preserve"> PAGE   \* MERGEFORMAT </w:instrText>
        </w:r>
        <w:r>
          <w:rPr>
            <w:noProof w:val="0"/>
          </w:rPr>
          <w:fldChar w:fldCharType="separate"/>
        </w:r>
        <w:r w:rsidR="00E17A8F">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207C" w14:textId="77777777" w:rsidR="00ED4D44" w:rsidRDefault="00ED4D44">
      <w:r>
        <w:separator/>
      </w:r>
    </w:p>
  </w:footnote>
  <w:footnote w:type="continuationSeparator" w:id="0">
    <w:p w14:paraId="5BBDA0AF" w14:textId="77777777" w:rsidR="00ED4D44" w:rsidRDefault="00ED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352536">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812792876">
    <w:abstractNumId w:val="6"/>
  </w:num>
  <w:num w:numId="3" w16cid:durableId="1226532350">
    <w:abstractNumId w:val="5"/>
  </w:num>
  <w:num w:numId="4" w16cid:durableId="98795268">
    <w:abstractNumId w:val="1"/>
  </w:num>
  <w:num w:numId="5" w16cid:durableId="934246114">
    <w:abstractNumId w:val="3"/>
  </w:num>
  <w:num w:numId="6" w16cid:durableId="1372222003">
    <w:abstractNumId w:val="2"/>
  </w:num>
  <w:num w:numId="7" w16cid:durableId="4837995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29C"/>
    <w:rsid w:val="000003E0"/>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B34"/>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9E6"/>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1AB2"/>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2F1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3C9"/>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298"/>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2D41"/>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44C"/>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384C"/>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58A"/>
    <w:rsid w:val="00484AE1"/>
    <w:rsid w:val="00484C0C"/>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3E19"/>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58A"/>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67"/>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1D3"/>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1E9"/>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B98"/>
    <w:rsid w:val="007B7C72"/>
    <w:rsid w:val="007C047A"/>
    <w:rsid w:val="007C0A02"/>
    <w:rsid w:val="007C0A32"/>
    <w:rsid w:val="007C11A4"/>
    <w:rsid w:val="007C1276"/>
    <w:rsid w:val="007C1AAC"/>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5A0"/>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4A75"/>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594"/>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6A"/>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2C4D"/>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620"/>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3D4"/>
    <w:rsid w:val="00BB241A"/>
    <w:rsid w:val="00BB28FB"/>
    <w:rsid w:val="00BB329D"/>
    <w:rsid w:val="00BB33DA"/>
    <w:rsid w:val="00BB35CF"/>
    <w:rsid w:val="00BB4512"/>
    <w:rsid w:val="00BB466D"/>
    <w:rsid w:val="00BB472E"/>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303"/>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247"/>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0DE"/>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0DD"/>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3E76"/>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A71"/>
    <w:rsid w:val="00D73C72"/>
    <w:rsid w:val="00D73C88"/>
    <w:rsid w:val="00D73CDC"/>
    <w:rsid w:val="00D73DCD"/>
    <w:rsid w:val="00D74544"/>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82A"/>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664"/>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17A8F"/>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D44"/>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278"/>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9E0"/>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1">
    <w:name w:val="Unresolved Mention1"/>
    <w:basedOn w:val="DefaultParagraphFont"/>
    <w:uiPriority w:val="99"/>
    <w:semiHidden/>
    <w:unhideWhenUsed/>
    <w:rsid w:val="00DB4CCB"/>
    <w:rPr>
      <w:color w:val="605E5C"/>
      <w:shd w:val="clear" w:color="auto" w:fill="E1DFDD"/>
    </w:rPr>
  </w:style>
  <w:style w:type="paragraph" w:styleId="HTMLPreformatted">
    <w:name w:val="HTML Preformatted"/>
    <w:basedOn w:val="Normal"/>
    <w:link w:val="HTMLPreformattedChar"/>
    <w:uiPriority w:val="99"/>
    <w:unhideWhenUsed/>
    <w:rsid w:val="009D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9D4594"/>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58110882">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34569344">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C6F06-4089-4DF9-9A3F-E07E9637FE1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16</TotalTime>
  <Pages>2</Pages>
  <Words>364</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2505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Qualcomm-2</cp:lastModifiedBy>
  <cp:revision>5</cp:revision>
  <cp:lastPrinted>2023-03-23T17:15:00Z</cp:lastPrinted>
  <dcterms:created xsi:type="dcterms:W3CDTF">2023-04-24T08:13:00Z</dcterms:created>
  <dcterms:modified xsi:type="dcterms:W3CDTF">2023-04-25T07:11:00Z</dcterms:modified>
</cp:coreProperties>
</file>