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11F18B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a3"/>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w:t>
      </w:r>
      <w:proofErr w:type="gramStart"/>
      <w:r w:rsidR="008471BC" w:rsidRPr="008471BC">
        <w:rPr>
          <w:rFonts w:ascii="Arial" w:hAnsi="Arial" w:cs="Arial"/>
          <w:b/>
          <w:bCs/>
          <w:sz w:val="24"/>
        </w:rPr>
        <w:t>e][</w:t>
      </w:r>
      <w:proofErr w:type="gramEnd"/>
      <w:r w:rsidR="008471BC" w:rsidRPr="008471BC">
        <w:rPr>
          <w:rFonts w:ascii="Arial" w:hAnsi="Arial" w:cs="Arial"/>
          <w:b/>
          <w:bCs/>
          <w:sz w:val="24"/>
        </w:rPr>
        <w:t>412][POS]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proofErr w:type="gramStart"/>
      <w:r w:rsidR="008A6192" w:rsidRPr="008F04AD">
        <w:rPr>
          <w:b/>
          <w:bCs/>
          <w:color w:val="FF0000"/>
        </w:rPr>
        <w:t xml:space="preserve">Thursday </w:t>
      </w:r>
      <w:r w:rsidR="008471BC" w:rsidRPr="008F04AD">
        <w:rPr>
          <w:b/>
          <w:bCs/>
          <w:color w:val="FF0000"/>
        </w:rPr>
        <w:t xml:space="preserve"> </w:t>
      </w:r>
      <w:r w:rsidRPr="008F04AD">
        <w:rPr>
          <w:b/>
          <w:bCs/>
          <w:color w:val="FF0000"/>
        </w:rPr>
        <w:t>2023</w:t>
      </w:r>
      <w:proofErr w:type="gramEnd"/>
      <w:r w:rsidRPr="008F04AD">
        <w:rPr>
          <w:b/>
          <w:bCs/>
          <w:color w:val="FF0000"/>
        </w:rPr>
        <w:t>-04-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440A0F65" w:rsidR="001C1AFE" w:rsidRDefault="00BA0883" w:rsidP="000D4B0F">
            <w:pPr>
              <w:pStyle w:val="TAC"/>
              <w:spacing w:before="20" w:after="20"/>
              <w:ind w:left="57" w:right="57"/>
              <w:jc w:val="left"/>
              <w:rPr>
                <w:lang w:eastAsia="zh-CN"/>
              </w:rPr>
            </w:pPr>
            <w:r>
              <w:rPr>
                <w:lang w:eastAsia="zh-CN"/>
              </w:rPr>
              <w:t>Alexey Kulakov</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bookmarkStart w:id="0" w:name="_GoBack"/>
            <w:bookmarkEnd w:id="0"/>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xml:space="preserve">- the document describes in detail how a device can use and benefit from the provided </w:t>
            </w:r>
            <w:proofErr w:type="spellStart"/>
            <w:r>
              <w:rPr>
                <w:lang w:eastAsia="zh-CN"/>
              </w:rPr>
              <w:t>LoS</w:t>
            </w:r>
            <w:proofErr w:type="spellEnd"/>
            <w:r>
              <w:rPr>
                <w:lang w:eastAsia="zh-CN"/>
              </w:rPr>
              <w:t>/</w:t>
            </w:r>
            <w:proofErr w:type="spellStart"/>
            <w:r>
              <w:rPr>
                <w:lang w:eastAsia="zh-CN"/>
              </w:rPr>
              <w:t>NLoS</w:t>
            </w:r>
            <w:proofErr w:type="spellEnd"/>
            <w:r>
              <w:rPr>
                <w:lang w:eastAsia="zh-CN"/>
              </w:rPr>
              <w:t xml:space="preserve">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better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E2105D" w:rsidRDefault="00E2105D" w:rsidP="00E2105D">
            <w:pPr>
              <w:pStyle w:val="TAC"/>
              <w:spacing w:before="20" w:after="20"/>
              <w:ind w:left="57" w:right="57"/>
              <w:jc w:val="left"/>
              <w:rPr>
                <w:lang w:eastAsia="zh-CN"/>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E2105D" w:rsidRDefault="00E2105D" w:rsidP="00E2105D">
            <w:pPr>
              <w:pStyle w:val="TAC"/>
              <w:spacing w:before="20" w:after="20"/>
              <w:ind w:left="57" w:right="57"/>
              <w:jc w:val="left"/>
              <w:rPr>
                <w:lang w:eastAsia="zh-CN"/>
              </w:rPr>
            </w:pP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E2105D" w:rsidRDefault="00E2105D" w:rsidP="00E2105D">
            <w:pPr>
              <w:pStyle w:val="TAC"/>
              <w:spacing w:before="20" w:after="20"/>
              <w:ind w:left="57" w:right="57"/>
              <w:jc w:val="left"/>
              <w:rPr>
                <w:lang w:eastAsia="zh-CN"/>
              </w:rPr>
            </w:pP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E2105D" w:rsidRDefault="00E2105D" w:rsidP="00E2105D">
            <w:pPr>
              <w:pStyle w:val="TAC"/>
              <w:spacing w:before="20" w:after="20"/>
              <w:ind w:left="57" w:right="57"/>
              <w:jc w:val="left"/>
              <w:rPr>
                <w:lang w:eastAsia="zh-CN"/>
              </w:rPr>
            </w:pPr>
          </w:p>
        </w:tc>
      </w:tr>
      <w:tr w:rsidR="00E210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E2105D" w:rsidRDefault="00E2105D" w:rsidP="00E2105D">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lastRenderedPageBreak/>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18AEC8A2" w14:textId="540C4663"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Default="000340D4" w:rsidP="00C35F09">
            <w:pPr>
              <w:pStyle w:val="TAC"/>
              <w:spacing w:before="20" w:after="20"/>
              <w:ind w:left="57" w:right="57"/>
              <w:jc w:val="left"/>
              <w:rPr>
                <w:lang w:eastAsia="zh-CN"/>
              </w:rPr>
            </w:pP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1" w:name="_Hlk131156173"/>
      <w:r w:rsidR="00BA0883" w:rsidRPr="00BA0883">
        <w:rPr>
          <w:rFonts w:ascii="Arial" w:eastAsia="MS Mincho" w:hAnsi="Arial"/>
        </w:rPr>
        <w:t>37.355</w:t>
      </w:r>
      <w:bookmarkEnd w:id="1"/>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w:t>
            </w:r>
            <w:proofErr w:type="gramStart"/>
            <w:r w:rsidRPr="00C91B78">
              <w:rPr>
                <w:lang w:val="en-AU"/>
              </w:rPr>
              <w:t>of  Sight</w:t>
            </w:r>
            <w:proofErr w:type="gramEnd"/>
            <w:r w:rsidRPr="00C91B78">
              <w:rPr>
                <w:lang w:val="en-AU"/>
              </w:rPr>
              <w:t xml:space="preserve">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2" w:name="_Hlk128125228"/>
            <w:r w:rsidRPr="00C91B78">
              <w:rPr>
                <w:lang w:val="en-AU"/>
              </w:rPr>
              <w:t>The support of assistance information about LOS/NLOS GNSS satellites, corresponding UE capability and the information to request LOS/NLOS GNSS satellites assistance data are introduced</w:t>
            </w:r>
            <w:bookmarkEnd w:id="2"/>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w:t>
            </w:r>
            <w:proofErr w:type="spellStart"/>
            <w:r>
              <w:rPr>
                <w:lang w:eastAsia="zh-CN"/>
              </w:rPr>
              <w:t>referenceAltitude</w:t>
            </w:r>
            <w:proofErr w:type="spellEnd"/>
            <w:r>
              <w:rPr>
                <w:lang w:eastAsia="zh-CN"/>
              </w:rPr>
              <w:t>’.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5D06B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D6DBFD" w14:textId="77777777" w:rsidR="00E2105D" w:rsidRDefault="00E2105D"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CFA4F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92993E"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0DD17D" w14:textId="77777777" w:rsidR="00E2105D" w:rsidRDefault="00E2105D" w:rsidP="00E2105D">
            <w:pPr>
              <w:pStyle w:val="TAC"/>
              <w:spacing w:before="20" w:after="20"/>
              <w:ind w:left="57" w:right="57"/>
              <w:jc w:val="left"/>
              <w:rPr>
                <w:lang w:eastAsia="zh-CN"/>
              </w:rPr>
            </w:pPr>
          </w:p>
        </w:tc>
      </w:tr>
      <w:tr w:rsidR="00E2105D"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BF370" w14:textId="77777777" w:rsidR="00E2105D" w:rsidRDefault="00E2105D" w:rsidP="00E2105D">
            <w:pPr>
              <w:pStyle w:val="TAC"/>
              <w:spacing w:before="20" w:after="20"/>
              <w:ind w:left="57" w:right="57"/>
              <w:jc w:val="left"/>
              <w:rPr>
                <w:lang w:eastAsia="zh-CN"/>
              </w:rPr>
            </w:pPr>
          </w:p>
        </w:tc>
      </w:tr>
      <w:tr w:rsidR="00E2105D"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626E2" w14:textId="77777777" w:rsidR="00E2105D" w:rsidRDefault="00E2105D" w:rsidP="00E2105D">
            <w:pPr>
              <w:pStyle w:val="TAC"/>
              <w:spacing w:before="20" w:after="20"/>
              <w:ind w:left="57" w:right="57"/>
              <w:jc w:val="left"/>
              <w:rPr>
                <w:lang w:eastAsia="zh-CN"/>
              </w:rPr>
            </w:pPr>
          </w:p>
        </w:tc>
      </w:tr>
      <w:tr w:rsidR="00E2105D"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200043" w14:textId="77777777" w:rsidR="00E2105D" w:rsidRDefault="00E2105D" w:rsidP="00E2105D">
            <w:pPr>
              <w:pStyle w:val="TAC"/>
              <w:spacing w:before="20" w:after="20"/>
              <w:ind w:left="57" w:right="57"/>
              <w:jc w:val="left"/>
              <w:rPr>
                <w:lang w:eastAsia="zh-CN"/>
              </w:rPr>
            </w:pPr>
          </w:p>
        </w:tc>
      </w:tr>
      <w:tr w:rsidR="00E2105D"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2105D" w:rsidRDefault="00E2105D" w:rsidP="00E2105D">
            <w:pPr>
              <w:pStyle w:val="TAC"/>
              <w:spacing w:before="20" w:after="20"/>
              <w:ind w:left="57" w:right="57"/>
              <w:jc w:val="left"/>
              <w:rPr>
                <w:lang w:eastAsia="zh-CN"/>
              </w:rPr>
            </w:pPr>
          </w:p>
        </w:tc>
      </w:tr>
      <w:tr w:rsidR="00E2105D"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2105D" w:rsidRDefault="00E2105D" w:rsidP="00E2105D">
            <w:pPr>
              <w:pStyle w:val="TAC"/>
              <w:spacing w:before="20" w:after="20"/>
              <w:ind w:left="57" w:right="57"/>
              <w:jc w:val="left"/>
              <w:rPr>
                <w:lang w:eastAsia="zh-CN"/>
              </w:rPr>
            </w:pPr>
          </w:p>
        </w:tc>
      </w:tr>
      <w:tr w:rsidR="00E2105D"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2105D" w:rsidRDefault="00E2105D" w:rsidP="00E2105D">
            <w:pPr>
              <w:pStyle w:val="TAC"/>
              <w:spacing w:before="20" w:after="20"/>
              <w:ind w:left="57" w:right="57"/>
              <w:jc w:val="left"/>
              <w:rPr>
                <w:lang w:eastAsia="zh-CN"/>
              </w:rPr>
            </w:pPr>
          </w:p>
        </w:tc>
      </w:tr>
      <w:tr w:rsidR="00E2105D"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2105D" w:rsidRDefault="00E2105D" w:rsidP="00E2105D">
            <w:pPr>
              <w:pStyle w:val="TAC"/>
              <w:spacing w:before="20" w:after="20"/>
              <w:ind w:left="57" w:right="57"/>
              <w:jc w:val="left"/>
              <w:rPr>
                <w:lang w:eastAsia="zh-CN"/>
              </w:rPr>
            </w:pPr>
          </w:p>
        </w:tc>
      </w:tr>
      <w:tr w:rsidR="00E2105D"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2105D" w:rsidRDefault="00E2105D" w:rsidP="00E2105D">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w:t>
            </w:r>
            <w:proofErr w:type="gramStart"/>
            <w:r w:rsidRPr="00C91B78">
              <w:rPr>
                <w:lang w:val="en-AU"/>
              </w:rPr>
              <w:t>Non Line</w:t>
            </w:r>
            <w:proofErr w:type="gramEnd"/>
            <w:r w:rsidRPr="00C91B78">
              <w:rPr>
                <w:lang w:val="en-AU"/>
              </w:rPr>
              <w:t xml:space="preserv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 xml:space="preserve">Please provide your technical comments to the CR </w:t>
      </w:r>
      <w:proofErr w:type="gramStart"/>
      <w:r w:rsidR="008471BC" w:rsidRPr="008471BC">
        <w:rPr>
          <w:rFonts w:ascii="Arial" w:eastAsia="MS Mincho" w:hAnsi="Arial"/>
        </w:rPr>
        <w:t>in</w:t>
      </w:r>
      <w:r w:rsidR="008471BC">
        <w:rPr>
          <w:rFonts w:ascii="Arial" w:eastAsia="MS Mincho" w:hAnsi="Arial"/>
        </w:rPr>
        <w:t xml:space="preserve">  </w:t>
      </w:r>
      <w:r w:rsidR="008471BC" w:rsidRPr="00D55458">
        <w:rPr>
          <w:rFonts w:ascii="Arial" w:eastAsia="MS Mincho" w:hAnsi="Arial"/>
        </w:rPr>
        <w:t>R</w:t>
      </w:r>
      <w:proofErr w:type="gramEnd"/>
      <w:r w:rsidR="008471BC" w:rsidRPr="00D55458">
        <w:rPr>
          <w:rFonts w:ascii="Arial" w:eastAsia="MS Mincho" w:hAnsi="Arial"/>
        </w:rPr>
        <w:t>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lastRenderedPageBreak/>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C6F7CB"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1CF280" w14:textId="77777777"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CA886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42F00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57B3B0"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A06DA2"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F0596" w14:textId="77777777" w:rsidR="00A06DA2" w:rsidRDefault="00A06DA2" w:rsidP="00A06DA2">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9D28E"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w:t>
            </w:r>
            <w:proofErr w:type="gramStart"/>
            <w:r w:rsidRPr="00C91B78">
              <w:rPr>
                <w:lang w:val="en-AU"/>
              </w:rPr>
              <w:t>of  Sight</w:t>
            </w:r>
            <w:proofErr w:type="gramEnd"/>
            <w:r w:rsidRPr="00C91B78">
              <w:rPr>
                <w:lang w:val="en-AU"/>
              </w:rPr>
              <w:t xml:space="preserve">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 xml:space="preserve">Please provide your technical comments to the CR </w:t>
      </w:r>
      <w:proofErr w:type="gramStart"/>
      <w:r w:rsidR="008471BC" w:rsidRPr="008471BC">
        <w:rPr>
          <w:rFonts w:ascii="Arial" w:eastAsia="MS Mincho" w:hAnsi="Arial"/>
        </w:rPr>
        <w:t>in</w:t>
      </w:r>
      <w:r w:rsidR="008471BC">
        <w:rPr>
          <w:rFonts w:ascii="Arial" w:eastAsia="MS Mincho" w:hAnsi="Arial"/>
        </w:rPr>
        <w:t xml:space="preserve">  </w:t>
      </w:r>
      <w:r w:rsidR="008471BC" w:rsidRPr="00D55458">
        <w:rPr>
          <w:rFonts w:ascii="Arial" w:eastAsia="MS Mincho" w:hAnsi="Arial"/>
        </w:rPr>
        <w:t>R</w:t>
      </w:r>
      <w:proofErr w:type="gramEnd"/>
      <w:r w:rsidR="008471BC" w:rsidRPr="00D55458">
        <w:rPr>
          <w:rFonts w:ascii="Arial" w:eastAsia="MS Mincho" w:hAnsi="Arial"/>
        </w:rPr>
        <w:t>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lastRenderedPageBreak/>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8CD1E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5E4CF6" w14:textId="77777777"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6CA7C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BFF03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4A788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FEAEAE" w14:textId="77777777" w:rsidR="00A06DA2" w:rsidRDefault="00A06DA2" w:rsidP="00A06DA2">
            <w:pPr>
              <w:pStyle w:val="TAC"/>
              <w:spacing w:before="20" w:after="20"/>
              <w:ind w:left="57" w:right="57"/>
              <w:jc w:val="left"/>
              <w:rPr>
                <w:lang w:eastAsia="zh-CN"/>
              </w:rPr>
            </w:pPr>
          </w:p>
        </w:tc>
      </w:tr>
      <w:tr w:rsidR="00A06DA2"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2920F" w14:textId="77777777" w:rsidR="00A06DA2" w:rsidRDefault="00A06DA2" w:rsidP="00A06DA2">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DB5DF" w14:textId="77777777" w:rsidR="00700961" w:rsidRDefault="00700961">
      <w:r>
        <w:separator/>
      </w:r>
    </w:p>
  </w:endnote>
  <w:endnote w:type="continuationSeparator" w:id="0">
    <w:p w14:paraId="28224369" w14:textId="77777777" w:rsidR="00700961" w:rsidRDefault="00700961">
      <w:r>
        <w:continuationSeparator/>
      </w:r>
    </w:p>
  </w:endnote>
  <w:endnote w:type="continuationNotice" w:id="1">
    <w:p w14:paraId="7AF6F4E9" w14:textId="77777777" w:rsidR="00700961" w:rsidRDefault="00700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5E1" w14:textId="19E843E8" w:rsidR="0072073A" w:rsidRDefault="008471BC">
    <w:pPr>
      <w:pStyle w:val="a5"/>
    </w:pPr>
    <w:r>
      <mc:AlternateContent>
        <mc:Choice Requires="wps">
          <w:drawing>
            <wp:anchor distT="0" distB="0" distL="114300" distR="114300" simplePos="0" relativeHeight="251659264"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BnYst8HgMAADgGAAAOAAAAAAAA&#10;AAAAAAAAAC4CAABkcnMvZTJvRG9jLnhtbFBLAQItABQABgAIAAAAIQDy0e5z3gAAAAsBAAAPAAAA&#10;AAAAAAAAAAAAAHgFAABkcnMvZG93bnJldi54bWxQSwUGAAAAAAQABADzAAAAgwY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0022" w14:textId="77777777" w:rsidR="00700961" w:rsidRDefault="00700961">
      <w:r>
        <w:separator/>
      </w:r>
    </w:p>
  </w:footnote>
  <w:footnote w:type="continuationSeparator" w:id="0">
    <w:p w14:paraId="7A1E2224" w14:textId="77777777" w:rsidR="00700961" w:rsidRDefault="00700961">
      <w:r>
        <w:continuationSeparator/>
      </w:r>
    </w:p>
  </w:footnote>
  <w:footnote w:type="continuationNotice" w:id="1">
    <w:p w14:paraId="2B4D55E8" w14:textId="77777777" w:rsidR="00700961" w:rsidRDefault="0070096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4"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9"/>
  </w:num>
  <w:num w:numId="7">
    <w:abstractNumId w:val="10"/>
  </w:num>
  <w:num w:numId="8">
    <w:abstractNumId w:val="11"/>
  </w:num>
  <w:num w:numId="9">
    <w:abstractNumId w:val="2"/>
  </w:num>
  <w:num w:numId="10">
    <w:abstractNumId w:val="4"/>
  </w:num>
  <w:num w:numId="11">
    <w:abstractNumId w:val="15"/>
  </w:num>
  <w:num w:numId="12">
    <w:abstractNumId w:val="8"/>
  </w:num>
  <w:num w:numId="13">
    <w:abstractNumId w:val="12"/>
  </w:num>
  <w:num w:numId="14">
    <w:abstractNumId w:val="3"/>
  </w:num>
  <w:num w:numId="15">
    <w:abstractNumId w:val="7"/>
  </w:num>
  <w:num w:numId="16">
    <w:abstractNumId w:val="14"/>
  </w:num>
  <w:num w:numId="17">
    <w:abstractNumId w:val="1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7C"/>
    <w:rsid w:val="000052BC"/>
    <w:rsid w:val="00016557"/>
    <w:rsid w:val="00023C40"/>
    <w:rsid w:val="00031B36"/>
    <w:rsid w:val="000321CA"/>
    <w:rsid w:val="00033397"/>
    <w:rsid w:val="000340D4"/>
    <w:rsid w:val="00040095"/>
    <w:rsid w:val="00065A19"/>
    <w:rsid w:val="00073C9C"/>
    <w:rsid w:val="00080512"/>
    <w:rsid w:val="00090468"/>
    <w:rsid w:val="00094568"/>
    <w:rsid w:val="000B7BCF"/>
    <w:rsid w:val="000C522B"/>
    <w:rsid w:val="000D58AB"/>
    <w:rsid w:val="000E5F68"/>
    <w:rsid w:val="000E6564"/>
    <w:rsid w:val="00112F1A"/>
    <w:rsid w:val="00145075"/>
    <w:rsid w:val="001672AE"/>
    <w:rsid w:val="001741A0"/>
    <w:rsid w:val="00175FA0"/>
    <w:rsid w:val="00194CD0"/>
    <w:rsid w:val="001B49C9"/>
    <w:rsid w:val="001C1AFE"/>
    <w:rsid w:val="001C23F4"/>
    <w:rsid w:val="001C4F79"/>
    <w:rsid w:val="001F168B"/>
    <w:rsid w:val="001F7831"/>
    <w:rsid w:val="00204045"/>
    <w:rsid w:val="0020712B"/>
    <w:rsid w:val="0022606D"/>
    <w:rsid w:val="00231728"/>
    <w:rsid w:val="00233EA1"/>
    <w:rsid w:val="00241D6D"/>
    <w:rsid w:val="002430CC"/>
    <w:rsid w:val="002444D2"/>
    <w:rsid w:val="00244A05"/>
    <w:rsid w:val="00250404"/>
    <w:rsid w:val="00253539"/>
    <w:rsid w:val="002610D8"/>
    <w:rsid w:val="002744A3"/>
    <w:rsid w:val="002747EC"/>
    <w:rsid w:val="00280FF0"/>
    <w:rsid w:val="002855BF"/>
    <w:rsid w:val="002A74B6"/>
    <w:rsid w:val="002B5A88"/>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5A2E"/>
    <w:rsid w:val="003C7362"/>
    <w:rsid w:val="003D6EEC"/>
    <w:rsid w:val="003D6EEE"/>
    <w:rsid w:val="003E0DB9"/>
    <w:rsid w:val="003E16BE"/>
    <w:rsid w:val="003E7137"/>
    <w:rsid w:val="003F4E28"/>
    <w:rsid w:val="004006E8"/>
    <w:rsid w:val="00401855"/>
    <w:rsid w:val="004235BD"/>
    <w:rsid w:val="0046023E"/>
    <w:rsid w:val="00465587"/>
    <w:rsid w:val="00477455"/>
    <w:rsid w:val="004A1F7B"/>
    <w:rsid w:val="004B68BB"/>
    <w:rsid w:val="004C44D2"/>
    <w:rsid w:val="004D3578"/>
    <w:rsid w:val="004D380D"/>
    <w:rsid w:val="004E213A"/>
    <w:rsid w:val="004F5216"/>
    <w:rsid w:val="00502B29"/>
    <w:rsid w:val="00503171"/>
    <w:rsid w:val="00506C28"/>
    <w:rsid w:val="00534DA0"/>
    <w:rsid w:val="005437E2"/>
    <w:rsid w:val="00543E6C"/>
    <w:rsid w:val="00561033"/>
    <w:rsid w:val="00565087"/>
    <w:rsid w:val="0056573F"/>
    <w:rsid w:val="005665B3"/>
    <w:rsid w:val="00571279"/>
    <w:rsid w:val="005A49C6"/>
    <w:rsid w:val="005F6CD0"/>
    <w:rsid w:val="00605A3C"/>
    <w:rsid w:val="00611566"/>
    <w:rsid w:val="00612100"/>
    <w:rsid w:val="00646D99"/>
    <w:rsid w:val="00656910"/>
    <w:rsid w:val="006574C0"/>
    <w:rsid w:val="006657F3"/>
    <w:rsid w:val="00675A4D"/>
    <w:rsid w:val="00696821"/>
    <w:rsid w:val="006C285F"/>
    <w:rsid w:val="006C66D8"/>
    <w:rsid w:val="006D1E24"/>
    <w:rsid w:val="006D35DE"/>
    <w:rsid w:val="006E1417"/>
    <w:rsid w:val="006E2423"/>
    <w:rsid w:val="006F14ED"/>
    <w:rsid w:val="006F1F09"/>
    <w:rsid w:val="006F6A2C"/>
    <w:rsid w:val="00700961"/>
    <w:rsid w:val="007069DC"/>
    <w:rsid w:val="00710201"/>
    <w:rsid w:val="0072073A"/>
    <w:rsid w:val="00734222"/>
    <w:rsid w:val="007342B5"/>
    <w:rsid w:val="00734A5B"/>
    <w:rsid w:val="00744E76"/>
    <w:rsid w:val="00745E14"/>
    <w:rsid w:val="00757D40"/>
    <w:rsid w:val="007662B5"/>
    <w:rsid w:val="00781F0F"/>
    <w:rsid w:val="00785684"/>
    <w:rsid w:val="0078727C"/>
    <w:rsid w:val="0079049D"/>
    <w:rsid w:val="00793DC5"/>
    <w:rsid w:val="007B18D8"/>
    <w:rsid w:val="007C095F"/>
    <w:rsid w:val="007C2DD0"/>
    <w:rsid w:val="007C6CE6"/>
    <w:rsid w:val="007E7FF5"/>
    <w:rsid w:val="007F2E08"/>
    <w:rsid w:val="008028A4"/>
    <w:rsid w:val="00813245"/>
    <w:rsid w:val="008204E5"/>
    <w:rsid w:val="008206F9"/>
    <w:rsid w:val="00823E6D"/>
    <w:rsid w:val="00840DE0"/>
    <w:rsid w:val="008471BC"/>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9016BB"/>
    <w:rsid w:val="0090271F"/>
    <w:rsid w:val="00902DB9"/>
    <w:rsid w:val="0090466A"/>
    <w:rsid w:val="00923655"/>
    <w:rsid w:val="00936071"/>
    <w:rsid w:val="009376CD"/>
    <w:rsid w:val="00940212"/>
    <w:rsid w:val="00942EC2"/>
    <w:rsid w:val="00961B32"/>
    <w:rsid w:val="00962509"/>
    <w:rsid w:val="00970DB3"/>
    <w:rsid w:val="00974BB0"/>
    <w:rsid w:val="00975BCD"/>
    <w:rsid w:val="009802A4"/>
    <w:rsid w:val="009928A9"/>
    <w:rsid w:val="009952E6"/>
    <w:rsid w:val="009A0AF3"/>
    <w:rsid w:val="009B07CD"/>
    <w:rsid w:val="009C19E9"/>
    <w:rsid w:val="009D74A6"/>
    <w:rsid w:val="009E0E87"/>
    <w:rsid w:val="009E15AB"/>
    <w:rsid w:val="009F2619"/>
    <w:rsid w:val="00A06DA2"/>
    <w:rsid w:val="00A10F02"/>
    <w:rsid w:val="00A204CA"/>
    <w:rsid w:val="00A209D6"/>
    <w:rsid w:val="00A22738"/>
    <w:rsid w:val="00A25EB2"/>
    <w:rsid w:val="00A32B7F"/>
    <w:rsid w:val="00A536F4"/>
    <w:rsid w:val="00A53724"/>
    <w:rsid w:val="00A54B2B"/>
    <w:rsid w:val="00A82346"/>
    <w:rsid w:val="00A9671C"/>
    <w:rsid w:val="00AA1553"/>
    <w:rsid w:val="00AC66B9"/>
    <w:rsid w:val="00B05380"/>
    <w:rsid w:val="00B05962"/>
    <w:rsid w:val="00B15449"/>
    <w:rsid w:val="00B160CC"/>
    <w:rsid w:val="00B16C2F"/>
    <w:rsid w:val="00B27303"/>
    <w:rsid w:val="00B47FD1"/>
    <w:rsid w:val="00B516BB"/>
    <w:rsid w:val="00B728F2"/>
    <w:rsid w:val="00B8403B"/>
    <w:rsid w:val="00B84DB2"/>
    <w:rsid w:val="00BA0883"/>
    <w:rsid w:val="00BC1A92"/>
    <w:rsid w:val="00BC1CA5"/>
    <w:rsid w:val="00BC3555"/>
    <w:rsid w:val="00BD5E60"/>
    <w:rsid w:val="00BF6CE1"/>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20496"/>
    <w:rsid w:val="00D2312D"/>
    <w:rsid w:val="00D33BE3"/>
    <w:rsid w:val="00D3792D"/>
    <w:rsid w:val="00D55E47"/>
    <w:rsid w:val="00D611F6"/>
    <w:rsid w:val="00D62E19"/>
    <w:rsid w:val="00D67CD1"/>
    <w:rsid w:val="00D738D6"/>
    <w:rsid w:val="00D75BA8"/>
    <w:rsid w:val="00D80795"/>
    <w:rsid w:val="00D84D02"/>
    <w:rsid w:val="00D854BE"/>
    <w:rsid w:val="00D87E00"/>
    <w:rsid w:val="00D9134D"/>
    <w:rsid w:val="00D96D11"/>
    <w:rsid w:val="00DA7A03"/>
    <w:rsid w:val="00DB0DB8"/>
    <w:rsid w:val="00DB1818"/>
    <w:rsid w:val="00DB426E"/>
    <w:rsid w:val="00DC309B"/>
    <w:rsid w:val="00DC4DA2"/>
    <w:rsid w:val="00DC5261"/>
    <w:rsid w:val="00DE25D2"/>
    <w:rsid w:val="00DE6761"/>
    <w:rsid w:val="00DF2745"/>
    <w:rsid w:val="00DF42E8"/>
    <w:rsid w:val="00E2105D"/>
    <w:rsid w:val="00E4165E"/>
    <w:rsid w:val="00E46C08"/>
    <w:rsid w:val="00E471CF"/>
    <w:rsid w:val="00E62835"/>
    <w:rsid w:val="00E655F5"/>
    <w:rsid w:val="00E77645"/>
    <w:rsid w:val="00E83697"/>
    <w:rsid w:val="00E85B2E"/>
    <w:rsid w:val="00E86664"/>
    <w:rsid w:val="00EA66C9"/>
    <w:rsid w:val="00EC4A25"/>
    <w:rsid w:val="00EF052A"/>
    <w:rsid w:val="00EF612C"/>
    <w:rsid w:val="00F025A2"/>
    <w:rsid w:val="00F036E9"/>
    <w:rsid w:val="00F07388"/>
    <w:rsid w:val="00F2026E"/>
    <w:rsid w:val="00F2210A"/>
    <w:rsid w:val="00F3774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styleId="ab">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a"/>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ac">
    <w:name w:val="annotation reference"/>
    <w:basedOn w:val="a0"/>
    <w:rsid w:val="00EF052A"/>
    <w:rPr>
      <w:sz w:val="16"/>
      <w:szCs w:val="16"/>
    </w:rPr>
  </w:style>
  <w:style w:type="paragraph" w:styleId="ad">
    <w:name w:val="annotation text"/>
    <w:basedOn w:val="a"/>
    <w:link w:val="ae"/>
    <w:rsid w:val="00EF052A"/>
  </w:style>
  <w:style w:type="character" w:customStyle="1" w:styleId="ae">
    <w:name w:val="批注文字 字符"/>
    <w:basedOn w:val="a0"/>
    <w:link w:val="ad"/>
    <w:rsid w:val="00EF052A"/>
    <w:rPr>
      <w:lang w:eastAsia="en-US"/>
    </w:rPr>
  </w:style>
  <w:style w:type="paragraph" w:styleId="af">
    <w:name w:val="annotation subject"/>
    <w:basedOn w:val="ad"/>
    <w:next w:val="ad"/>
    <w:link w:val="af0"/>
    <w:rsid w:val="00EF052A"/>
    <w:rPr>
      <w:b/>
      <w:bCs/>
    </w:rPr>
  </w:style>
  <w:style w:type="character" w:customStyle="1" w:styleId="af0">
    <w:name w:val="批注主题 字符"/>
    <w:basedOn w:val="ae"/>
    <w:link w:val="af"/>
    <w:rsid w:val="00EF05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1091</Words>
  <Characters>6220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7297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Kulakov, Vodafone</dc:creator>
  <cp:keywords/>
  <dc:description/>
  <cp:lastModifiedBy>Liuyang-OPPO</cp:lastModifiedBy>
  <cp:revision>3</cp:revision>
  <dcterms:created xsi:type="dcterms:W3CDTF">2023-04-18T09:37:00Z</dcterms:created>
  <dcterms:modified xsi:type="dcterms:W3CDTF">2023-04-18T09:38:00Z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MSIP_Label_0359f705-2ba0-454b-9cfc-6ce5bcaac040_Enabled">
    <vt:lpwstr>true</vt:lpwstr>
  </property>
  <property fmtid="{D5CDD505-2E9C-101B-9397-08002B2CF9AE}" pid="5" name="MSIP_Label_0359f705-2ba0-454b-9cfc-6ce5bcaac040_SetDate">
    <vt:lpwstr>2023-04-17T10:14:42Z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e288fa3f-dabf-474d-abcd-68bc455eadf7</vt:lpwstr>
  </property>
  <property fmtid="{D5CDD505-2E9C-101B-9397-08002B2CF9AE}" pid="10" name="MSIP_Label_0359f705-2ba0-454b-9cfc-6ce5bcaac040_ContentBits">
    <vt:lpwstr>2</vt:lpwstr>
  </property>
</Properties>
</file>