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r>
        <w:rPr>
          <w:b/>
          <w:bCs/>
          <w:sz w:val="24"/>
          <w:szCs w:val="24"/>
        </w:rPr>
        <w:t>eMeeting,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 xml:space="preserve">[POST121][313][UAV]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For MO configuration parameters: at least the following will have ability to be configured with height-dependent more-than-one configurations/values, each for a specific height region: SSB-ToMeasure. Details on how to specify is FFS.    FFS on UE behavior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1"/>
        <w:spacing w:line="276" w:lineRule="auto"/>
      </w:pPr>
      <w:r>
        <w:t>Delegates contacts</w:t>
      </w:r>
    </w:p>
    <w:tbl>
      <w:tblPr>
        <w:tblStyle w:val="af2"/>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r>
              <w:t>Helka-Liina Määttänen</w:t>
            </w:r>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宋体" w:hint="eastAsia"/>
                <w:lang w:eastAsia="zh-CN"/>
              </w:rPr>
            </w:pPr>
            <w:r>
              <w:rPr>
                <w:rFonts w:eastAsia="宋体" w:hint="eastAsia"/>
                <w:lang w:eastAsia="zh-CN"/>
              </w:rPr>
              <w:t>N</w:t>
            </w:r>
            <w:r>
              <w:rPr>
                <w:rFonts w:eastAsia="宋体"/>
                <w:lang w:eastAsia="zh-CN"/>
              </w:rPr>
              <w:t>EC</w:t>
            </w:r>
          </w:p>
        </w:tc>
        <w:tc>
          <w:tcPr>
            <w:tcW w:w="3117" w:type="dxa"/>
          </w:tcPr>
          <w:p w14:paraId="76241F89" w14:textId="71CDF14B" w:rsidR="001E0163" w:rsidRPr="00FE486C" w:rsidRDefault="00FE486C" w:rsidP="001E0163">
            <w:pPr>
              <w:rPr>
                <w:rFonts w:eastAsia="宋体" w:hint="eastAsia"/>
                <w:lang w:eastAsia="zh-CN"/>
              </w:rPr>
            </w:pPr>
            <w:r>
              <w:rPr>
                <w:rFonts w:eastAsia="宋体" w:hint="eastAsia"/>
                <w:lang w:eastAsia="zh-CN"/>
              </w:rPr>
              <w:t>Z</w:t>
            </w:r>
            <w:r>
              <w:rPr>
                <w:rFonts w:eastAsia="宋体"/>
                <w:lang w:eastAsia="zh-CN"/>
              </w:rPr>
              <w:t>onghui XIE</w:t>
            </w:r>
            <w:bookmarkStart w:id="4" w:name="_GoBack"/>
            <w:bookmarkEnd w:id="4"/>
          </w:p>
        </w:tc>
        <w:tc>
          <w:tcPr>
            <w:tcW w:w="3117" w:type="dxa"/>
          </w:tcPr>
          <w:p w14:paraId="62DACCEB" w14:textId="7DEB3DED" w:rsidR="001E0163" w:rsidRPr="00FE486C" w:rsidRDefault="00DD211C" w:rsidP="001E0163">
            <w:pPr>
              <w:rPr>
                <w:rFonts w:eastAsia="宋体" w:hint="eastAsia"/>
                <w:lang w:eastAsia="zh-CN"/>
              </w:rPr>
            </w:pPr>
            <w:r>
              <w:rPr>
                <w:rFonts w:eastAsia="宋体"/>
                <w:lang w:eastAsia="zh-CN"/>
              </w:rPr>
              <w:t>x</w:t>
            </w:r>
            <w:r w:rsidR="00FE486C">
              <w:rPr>
                <w:rFonts w:eastAsia="宋体"/>
                <w:lang w:eastAsia="zh-CN"/>
              </w:rPr>
              <w:t>ie_zonghui@nec.cn</w:t>
            </w:r>
          </w:p>
        </w:tc>
      </w:tr>
    </w:tbl>
    <w:p w14:paraId="570431BE" w14:textId="77777777" w:rsidR="001E0163" w:rsidRPr="00DD211C" w:rsidRDefault="001E0163" w:rsidP="001E0163"/>
    <w:p w14:paraId="152BB22D" w14:textId="1B140C42" w:rsidR="00C76F04" w:rsidRPr="00C76F04" w:rsidRDefault="00127A67" w:rsidP="00C76F04">
      <w:pPr>
        <w:pStyle w:val="1"/>
        <w:spacing w:line="276" w:lineRule="auto"/>
      </w:pPr>
      <w:r>
        <w:t>Discussion</w:t>
      </w:r>
    </w:p>
    <w:p w14:paraId="68E94FD1" w14:textId="693691C2" w:rsidR="00C76F04" w:rsidRDefault="00C76F04">
      <w:pPr>
        <w:pStyle w:val="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f2"/>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af7"/>
              <w:numPr>
                <w:ilvl w:val="0"/>
                <w:numId w:val="16"/>
              </w:numPr>
            </w:pPr>
            <w:r>
              <w:t>Measurement Object configuration related parameters</w:t>
            </w:r>
          </w:p>
          <w:p w14:paraId="10D56C35" w14:textId="77777777" w:rsidR="00C76F04" w:rsidRDefault="00C76F04" w:rsidP="00C76F04">
            <w:pPr>
              <w:pStyle w:val="af7"/>
              <w:numPr>
                <w:ilvl w:val="1"/>
                <w:numId w:val="16"/>
              </w:numPr>
            </w:pPr>
            <w:r>
              <w:t>SSB-ToMeasure: ZTE, LG, NEC, QC, DCM</w:t>
            </w:r>
          </w:p>
          <w:p w14:paraId="66A4F8C8" w14:textId="77777777" w:rsidR="00C76F04" w:rsidRPr="00BC24A2" w:rsidRDefault="00C76F04" w:rsidP="00C76F04">
            <w:pPr>
              <w:pStyle w:val="af7"/>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af7"/>
              <w:numPr>
                <w:ilvl w:val="0"/>
                <w:numId w:val="16"/>
              </w:numPr>
            </w:pPr>
            <w:r>
              <w:t>Measurement Reporting configuration related parameters</w:t>
            </w:r>
          </w:p>
          <w:p w14:paraId="0FE911D1" w14:textId="77777777" w:rsidR="00C76F04" w:rsidRDefault="00C76F04" w:rsidP="00C76F04">
            <w:pPr>
              <w:pStyle w:val="af7"/>
              <w:numPr>
                <w:ilvl w:val="1"/>
                <w:numId w:val="16"/>
              </w:numPr>
            </w:pPr>
            <w:r>
              <w:t>Event A4/Ax threshold: NEC, Nokia, Samsung, DCM, vivo, Lenovo</w:t>
            </w:r>
          </w:p>
          <w:p w14:paraId="7B5D3B17" w14:textId="77777777" w:rsidR="00C76F04" w:rsidRDefault="00C76F04" w:rsidP="00C76F04">
            <w:pPr>
              <w:pStyle w:val="af7"/>
              <w:numPr>
                <w:ilvl w:val="1"/>
                <w:numId w:val="16"/>
              </w:numPr>
            </w:pPr>
            <w:r>
              <w:t>TTT: HW, CATT, Samsung, Lenovo</w:t>
            </w:r>
          </w:p>
          <w:p w14:paraId="42B0DC17"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reportAmount: E//, Samsung, Lenovo</w:t>
            </w:r>
          </w:p>
          <w:p w14:paraId="15F82637"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NumberOfTriggeringCells: NEC, HW, vivo</w:t>
            </w:r>
          </w:p>
          <w:p w14:paraId="6BDEC6DF"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reportInterval: E//, Samsung</w:t>
            </w:r>
          </w:p>
          <w:p w14:paraId="419833FD"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af7"/>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af2"/>
        <w:tblW w:w="0" w:type="auto"/>
        <w:tblLook w:val="04A0" w:firstRow="1" w:lastRow="0" w:firstColumn="1" w:lastColumn="0" w:noHBand="0" w:noVBand="1"/>
      </w:tblPr>
      <w:tblGrid>
        <w:gridCol w:w="1279"/>
        <w:gridCol w:w="5722"/>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r w:rsidRPr="00C76F04">
              <w:rPr>
                <w:b/>
                <w:bCs/>
              </w:rPr>
              <w:lastRenderedPageBreak/>
              <w:t>Tdoc</w:t>
            </w:r>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77777777" w:rsidR="00C76F04" w:rsidRDefault="00C76F04" w:rsidP="00090E85">
            <w:r>
              <w:t>R2-2303095, Nokia</w:t>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t>NumberOfTriggeringCells.</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Proposal 3: Implement a new height-dependent configuration for multi-cell triggered interference reporting, e.g., a new IE heightRange in EventTriggerConfig.</w:t>
            </w:r>
          </w:p>
        </w:tc>
        <w:tc>
          <w:tcPr>
            <w:tcW w:w="2346" w:type="dxa"/>
          </w:tcPr>
          <w:p w14:paraId="4B6831EC" w14:textId="59BD8F37" w:rsidR="00C76F04" w:rsidRPr="009D0EDB" w:rsidRDefault="00004481" w:rsidP="00090E85">
            <w:r>
              <w:t>Unclear (is it covered by NumberOfTriggeringCells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MeasObject</w:t>
            </w:r>
          </w:p>
          <w:p w14:paraId="7B8B2F88"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ReportConfig</w:t>
            </w:r>
          </w:p>
          <w:p w14:paraId="1A84C6AF"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51EB121A"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r>
              <w:rPr>
                <w:rFonts w:cs="Calibri"/>
              </w:rPr>
              <w:t>Yes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SSB-ToMeasure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SSB-ToMeasure)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Proposal 3: The TTT and the NumberOfTriggeringCells can be height-dependent, and they are adjusted based on HeightStateScalFactor.</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Proposal 4: RAN2 to discuss whether network can control inclusion of all or subset of measResultServMOs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lastRenderedPageBreak/>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lastRenderedPageBreak/>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af7"/>
        <w:numPr>
          <w:ilvl w:val="0"/>
          <w:numId w:val="16"/>
        </w:numPr>
      </w:pPr>
      <w:r>
        <w:t>Measurement Object configuration related parameters</w:t>
      </w:r>
    </w:p>
    <w:p w14:paraId="5871275C" w14:textId="77777777" w:rsidR="00004481" w:rsidRDefault="00004481" w:rsidP="00004481">
      <w:pPr>
        <w:pStyle w:val="af7"/>
        <w:numPr>
          <w:ilvl w:val="1"/>
          <w:numId w:val="16"/>
        </w:numPr>
      </w:pPr>
      <w:r>
        <w:t>SSB-ToMeasure: ZTE, LG, NEC, QC, DCM</w:t>
      </w:r>
    </w:p>
    <w:p w14:paraId="07FFE0D9" w14:textId="0BB64B39" w:rsidR="00004481" w:rsidRPr="00FD0E9B" w:rsidRDefault="00004481" w:rsidP="00004481">
      <w:pPr>
        <w:pStyle w:val="af7"/>
        <w:numPr>
          <w:ilvl w:val="1"/>
          <w:numId w:val="16"/>
        </w:numPr>
      </w:pPr>
      <w:r w:rsidRPr="00FD0E9B">
        <w:rPr>
          <w:rFonts w:eastAsia="Malgun Gothic"/>
          <w:lang w:eastAsia="ko-KR"/>
        </w:rPr>
        <w:t>allowed/excluded cells: LG, NEC, vivo</w:t>
      </w:r>
      <w:r w:rsidRPr="00FD0E9B">
        <w:rPr>
          <w:rFonts w:eastAsia="Malgun Gothic"/>
          <w:color w:val="FF0000"/>
          <w:lang w:eastAsia="ko-KR"/>
        </w:rPr>
        <w:t>, Nokia</w:t>
      </w:r>
    </w:p>
    <w:p w14:paraId="7E6191EF" w14:textId="77777777" w:rsidR="00004481" w:rsidRPr="00BC24A2" w:rsidRDefault="00004481" w:rsidP="00004481">
      <w:pPr>
        <w:pStyle w:val="af7"/>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af7"/>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af7"/>
        <w:numPr>
          <w:ilvl w:val="0"/>
          <w:numId w:val="16"/>
        </w:numPr>
      </w:pPr>
      <w:r>
        <w:t>Measurement Reporting configuration related parameters</w:t>
      </w:r>
    </w:p>
    <w:p w14:paraId="31DC2BC8" w14:textId="77777777" w:rsidR="00004481" w:rsidRDefault="00004481" w:rsidP="00004481">
      <w:pPr>
        <w:pStyle w:val="af7"/>
        <w:numPr>
          <w:ilvl w:val="1"/>
          <w:numId w:val="16"/>
        </w:numPr>
      </w:pPr>
      <w:r>
        <w:t>Event A4/Ax threshold: NEC, Nokia, Samsung, DCM, vivo, Lenovo</w:t>
      </w:r>
    </w:p>
    <w:p w14:paraId="6688661B" w14:textId="77777777" w:rsidR="00004481" w:rsidRDefault="00004481" w:rsidP="00004481">
      <w:pPr>
        <w:pStyle w:val="af7"/>
        <w:numPr>
          <w:ilvl w:val="1"/>
          <w:numId w:val="16"/>
        </w:numPr>
      </w:pPr>
      <w:r>
        <w:t>TTT: HW, CATT, Samsung, Lenovo</w:t>
      </w:r>
    </w:p>
    <w:p w14:paraId="149B9CF8" w14:textId="77777777" w:rsidR="00C769EC" w:rsidRPr="00C769EC" w:rsidRDefault="00C769EC" w:rsidP="00C769EC">
      <w:pPr>
        <w:pStyle w:val="af7"/>
        <w:numPr>
          <w:ilvl w:val="1"/>
          <w:numId w:val="16"/>
        </w:numPr>
      </w:pPr>
      <w:r w:rsidRPr="00C769EC">
        <w:t xml:space="preserve">NumberOfTriggeringCells: NEC, HW, vivo, </w:t>
      </w:r>
      <w:r w:rsidRPr="00C769EC">
        <w:rPr>
          <w:color w:val="FF0000"/>
        </w:rPr>
        <w:t>Nokia</w:t>
      </w:r>
    </w:p>
    <w:p w14:paraId="19C1FA78" w14:textId="77777777" w:rsidR="00004481" w:rsidRPr="00BC24A2" w:rsidRDefault="00004481" w:rsidP="00004481">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reportAmount: E//, Samsung, Lenovo</w:t>
      </w:r>
    </w:p>
    <w:p w14:paraId="2343304C" w14:textId="77777777" w:rsidR="00004481" w:rsidRPr="00BC24A2" w:rsidRDefault="00004481" w:rsidP="00004481">
      <w:pPr>
        <w:pStyle w:val="af7"/>
        <w:numPr>
          <w:ilvl w:val="1"/>
          <w:numId w:val="16"/>
        </w:numPr>
        <w:rPr>
          <w:color w:val="D9D9D9" w:themeColor="background1" w:themeShade="D9"/>
        </w:rPr>
      </w:pPr>
      <w:r w:rsidRPr="00BC24A2">
        <w:rPr>
          <w:color w:val="D9D9D9" w:themeColor="background1" w:themeShade="D9"/>
        </w:rPr>
        <w:t>reportInterval: E//, Samsung</w:t>
      </w:r>
    </w:p>
    <w:p w14:paraId="63A091DF" w14:textId="2877D062" w:rsidR="00004481" w:rsidRDefault="00004481" w:rsidP="00004481">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af7"/>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af7"/>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Subset of measResultServMOs: Samsung</w:t>
      </w:r>
    </w:p>
    <w:p w14:paraId="3F19EB72" w14:textId="669607A3" w:rsidR="00004481" w:rsidRDefault="00004481" w:rsidP="00004481"/>
    <w:p w14:paraId="0CE8FF10" w14:textId="77777777" w:rsidR="00BC59B9" w:rsidRDefault="00BC59B9" w:rsidP="00BC59B9">
      <w:pPr>
        <w:pStyle w:val="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SSB-ToMeasure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 xml:space="preserve">2.  For MO configuration parameters: at least the following will have ability to be configured with height-dependent more-than-one configurations/values, each for a specific height region: SSB-ToMeasure. Details on how to specify is FFS.    FFS on UE behavior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SSB-ToMeasure</w:t>
      </w:r>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af2"/>
        <w:tblW w:w="0" w:type="auto"/>
        <w:tblLook w:val="04A0" w:firstRow="1" w:lastRow="0" w:firstColumn="1" w:lastColumn="0" w:noHBand="0" w:noVBand="1"/>
      </w:tblPr>
      <w:tblGrid>
        <w:gridCol w:w="1335"/>
        <w:gridCol w:w="1627"/>
        <w:gridCol w:w="6388"/>
      </w:tblGrid>
      <w:tr w:rsidR="00BC59B9" w:rsidRPr="001E0163" w14:paraId="0D123C2F" w14:textId="77777777" w:rsidTr="00090E85">
        <w:tc>
          <w:tcPr>
            <w:tcW w:w="1345" w:type="dxa"/>
          </w:tcPr>
          <w:p w14:paraId="5B86B4F8" w14:textId="77777777" w:rsidR="00BC59B9" w:rsidRPr="001E0163" w:rsidRDefault="00BC59B9" w:rsidP="00090E85">
            <w:pPr>
              <w:rPr>
                <w:b/>
                <w:bCs/>
              </w:rPr>
            </w:pPr>
            <w:r w:rsidRPr="001E0163">
              <w:rPr>
                <w:b/>
                <w:bCs/>
              </w:rPr>
              <w:t>Company</w:t>
            </w:r>
          </w:p>
        </w:tc>
        <w:tc>
          <w:tcPr>
            <w:tcW w:w="1440" w:type="dxa"/>
          </w:tcPr>
          <w:p w14:paraId="59D98394" w14:textId="77777777" w:rsidR="00BC59B9" w:rsidRPr="001E0163" w:rsidRDefault="00BC59B9" w:rsidP="00090E85">
            <w:pPr>
              <w:rPr>
                <w:b/>
                <w:bCs/>
              </w:rPr>
            </w:pPr>
            <w:r w:rsidRPr="001E0163">
              <w:rPr>
                <w:b/>
                <w:bCs/>
              </w:rPr>
              <w:t>Parameter</w:t>
            </w:r>
          </w:p>
        </w:tc>
        <w:tc>
          <w:tcPr>
            <w:tcW w:w="6565"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090E85">
        <w:tc>
          <w:tcPr>
            <w:tcW w:w="1345" w:type="dxa"/>
          </w:tcPr>
          <w:p w14:paraId="0F9B9618" w14:textId="1C5C3322" w:rsidR="00DC0D1B" w:rsidRDefault="00DC0D1B" w:rsidP="00DC0D1B">
            <w:pPr>
              <w:pStyle w:val="TB-TableBody"/>
            </w:pPr>
            <w:r>
              <w:t>Ericsson</w:t>
            </w:r>
          </w:p>
        </w:tc>
        <w:tc>
          <w:tcPr>
            <w:tcW w:w="1440" w:type="dxa"/>
          </w:tcPr>
          <w:p w14:paraId="5ED9C0FA" w14:textId="1822717A" w:rsidR="00DC0D1B" w:rsidRDefault="00DC0D1B" w:rsidP="00DC0D1B">
            <w:pPr>
              <w:pStyle w:val="TB-TableBody"/>
            </w:pPr>
            <w:r>
              <w:t>No strong view which MO parameters can be applied</w:t>
            </w:r>
          </w:p>
        </w:tc>
        <w:tc>
          <w:tcPr>
            <w:tcW w:w="6565" w:type="dxa"/>
          </w:tcPr>
          <w:p w14:paraId="62CD21BE" w14:textId="77777777" w:rsidR="00DC0D1B" w:rsidRDefault="00DC0D1B" w:rsidP="00DC0D1B">
            <w:pPr>
              <w:pStyle w:val="TB-TableBody"/>
            </w:pPr>
          </w:p>
        </w:tc>
      </w:tr>
      <w:tr w:rsidR="00E4335B" w14:paraId="12A87E06" w14:textId="77777777" w:rsidTr="00090E85">
        <w:tc>
          <w:tcPr>
            <w:tcW w:w="1345" w:type="dxa"/>
          </w:tcPr>
          <w:p w14:paraId="3FF0B5A3" w14:textId="2736AB85" w:rsidR="00E4335B" w:rsidRDefault="00E4335B" w:rsidP="00E4335B">
            <w:r>
              <w:rPr>
                <w:rFonts w:eastAsia="宋体" w:hint="eastAsia"/>
                <w:lang w:eastAsia="zh-CN"/>
              </w:rPr>
              <w:t>N</w:t>
            </w:r>
            <w:r>
              <w:rPr>
                <w:rFonts w:eastAsia="宋体"/>
                <w:lang w:eastAsia="zh-CN"/>
              </w:rPr>
              <w:t>EC</w:t>
            </w:r>
          </w:p>
        </w:tc>
        <w:tc>
          <w:tcPr>
            <w:tcW w:w="1440" w:type="dxa"/>
          </w:tcPr>
          <w:p w14:paraId="10750536" w14:textId="775ECE0D" w:rsidR="00E4335B" w:rsidRDefault="00E4335B" w:rsidP="00E4335B">
            <w:r w:rsidRPr="0089349F">
              <w:t>allowed/excluded cells</w:t>
            </w:r>
          </w:p>
        </w:tc>
        <w:tc>
          <w:tcPr>
            <w:tcW w:w="6565" w:type="dxa"/>
          </w:tcPr>
          <w:p w14:paraId="745597AB" w14:textId="0B13C688" w:rsidR="00E4335B" w:rsidRDefault="00E4335B" w:rsidP="00E4335B">
            <w:r>
              <w:rPr>
                <w:rFonts w:eastAsia="宋体"/>
              </w:rPr>
              <w:t>I</w:t>
            </w:r>
            <w:r w:rsidRPr="001C384F">
              <w:rPr>
                <w:rFonts w:eastAsia="宋体"/>
              </w:rPr>
              <w:t xml:space="preserve">f </w:t>
            </w:r>
            <w:r>
              <w:rPr>
                <w:rFonts w:eastAsia="宋体"/>
              </w:rPr>
              <w:t xml:space="preserve">UAV UE is required </w:t>
            </w:r>
            <w:r w:rsidRPr="001C384F">
              <w:rPr>
                <w:rFonts w:eastAsia="宋体"/>
              </w:rPr>
              <w:t xml:space="preserve">to perform geo-fencing in </w:t>
            </w:r>
            <w:r>
              <w:rPr>
                <w:rFonts w:eastAsia="宋体"/>
              </w:rPr>
              <w:t>airspace</w:t>
            </w:r>
            <w:r w:rsidRPr="001C384F">
              <w:rPr>
                <w:rFonts w:eastAsia="宋体"/>
              </w:rPr>
              <w:t xml:space="preserve">, </w:t>
            </w:r>
            <w:r>
              <w:rPr>
                <w:rFonts w:eastAsia="宋体"/>
              </w:rPr>
              <w:t xml:space="preserve">performing </w:t>
            </w:r>
            <w:r w:rsidRPr="001C384F">
              <w:rPr>
                <w:rFonts w:eastAsia="宋体"/>
              </w:rPr>
              <w:t xml:space="preserve">measurement </w:t>
            </w:r>
            <w:r>
              <w:rPr>
                <w:rFonts w:eastAsia="宋体"/>
              </w:rPr>
              <w:t xml:space="preserve">on </w:t>
            </w:r>
            <w:r w:rsidRPr="001C384F">
              <w:rPr>
                <w:rFonts w:eastAsia="宋体"/>
              </w:rPr>
              <w:t>cells</w:t>
            </w:r>
            <w:r>
              <w:rPr>
                <w:rFonts w:eastAsia="宋体"/>
              </w:rPr>
              <w:t xml:space="preserve"> in which flying is not allowed</w:t>
            </w:r>
            <w:r w:rsidRPr="001C384F">
              <w:rPr>
                <w:rFonts w:eastAsia="宋体"/>
              </w:rPr>
              <w:t xml:space="preserve"> </w:t>
            </w:r>
            <w:r>
              <w:rPr>
                <w:rFonts w:eastAsia="宋体"/>
              </w:rPr>
              <w:t>is unnecessary</w:t>
            </w:r>
            <w:r>
              <w:rPr>
                <w:rFonts w:eastAsia="宋体"/>
                <w:lang w:eastAsia="zh-CN"/>
              </w:rPr>
              <w:t>. I</w:t>
            </w:r>
            <w:r w:rsidRPr="00016199">
              <w:rPr>
                <w:rFonts w:eastAsia="宋体"/>
                <w:lang w:eastAsia="zh-CN"/>
              </w:rPr>
              <w:t>n that case</w:t>
            </w:r>
            <w:r>
              <w:rPr>
                <w:rFonts w:eastAsia="宋体"/>
                <w:lang w:eastAsia="zh-CN"/>
              </w:rPr>
              <w:t>,</w:t>
            </w:r>
            <w:r>
              <w:rPr>
                <w:rFonts w:eastAsia="宋体"/>
              </w:rPr>
              <w:t xml:space="preserve"> associate either exclude-listed or </w:t>
            </w:r>
            <w:r w:rsidRPr="00895E65">
              <w:rPr>
                <w:rFonts w:eastAsia="宋体"/>
              </w:rPr>
              <w:t xml:space="preserve">allow-listed neighboring cells to flying </w:t>
            </w:r>
            <w:r w:rsidRPr="00895E65">
              <w:rPr>
                <w:rFonts w:eastAsia="宋体"/>
              </w:rPr>
              <w:lastRenderedPageBreak/>
              <w:t xml:space="preserve">altitude </w:t>
            </w:r>
            <w:r>
              <w:rPr>
                <w:rFonts w:eastAsia="宋体"/>
              </w:rPr>
              <w:t>can</w:t>
            </w:r>
            <w:r w:rsidRPr="00895E65">
              <w:rPr>
                <w:rFonts w:eastAsia="宋体"/>
              </w:rPr>
              <w:t xml:space="preserve"> limit excessive measurements for UAV UE operating at the corresponding altitude. </w:t>
            </w:r>
          </w:p>
        </w:tc>
      </w:tr>
      <w:tr w:rsidR="00BC59B9" w14:paraId="7349FBF2" w14:textId="77777777" w:rsidTr="00090E85">
        <w:tc>
          <w:tcPr>
            <w:tcW w:w="1345" w:type="dxa"/>
          </w:tcPr>
          <w:p w14:paraId="64F76C3E" w14:textId="77777777" w:rsidR="00BC59B9" w:rsidRDefault="00BC59B9" w:rsidP="00090E85"/>
        </w:tc>
        <w:tc>
          <w:tcPr>
            <w:tcW w:w="1440" w:type="dxa"/>
          </w:tcPr>
          <w:p w14:paraId="03006BFB" w14:textId="77777777" w:rsidR="00BC59B9" w:rsidRDefault="00BC59B9" w:rsidP="00090E85"/>
        </w:tc>
        <w:tc>
          <w:tcPr>
            <w:tcW w:w="6565" w:type="dxa"/>
          </w:tcPr>
          <w:p w14:paraId="423B2D69" w14:textId="77777777" w:rsidR="00BC59B9" w:rsidRDefault="00BC59B9" w:rsidP="00090E85"/>
        </w:tc>
      </w:tr>
      <w:tr w:rsidR="00BC59B9" w14:paraId="481D3B2B" w14:textId="77777777" w:rsidTr="00090E85">
        <w:tc>
          <w:tcPr>
            <w:tcW w:w="1345" w:type="dxa"/>
          </w:tcPr>
          <w:p w14:paraId="78536BD8" w14:textId="77777777" w:rsidR="00BC59B9" w:rsidRDefault="00BC59B9" w:rsidP="00090E85"/>
        </w:tc>
        <w:tc>
          <w:tcPr>
            <w:tcW w:w="1440" w:type="dxa"/>
          </w:tcPr>
          <w:p w14:paraId="335D4444" w14:textId="77777777" w:rsidR="00BC59B9" w:rsidRDefault="00BC59B9" w:rsidP="00090E85"/>
        </w:tc>
        <w:tc>
          <w:tcPr>
            <w:tcW w:w="6565" w:type="dxa"/>
          </w:tcPr>
          <w:p w14:paraId="1C10B5DA" w14:textId="77777777" w:rsidR="00BC59B9" w:rsidRDefault="00BC59B9" w:rsidP="00090E85"/>
        </w:tc>
      </w:tr>
    </w:tbl>
    <w:p w14:paraId="2473CBB2" w14:textId="77777777" w:rsidR="00BC59B9" w:rsidRDefault="00BC59B9" w:rsidP="00BC59B9"/>
    <w:p w14:paraId="5E95A32E" w14:textId="121782D5" w:rsidR="00DE07CD" w:rsidRDefault="00832D38">
      <w:pPr>
        <w:pStyle w:val="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sidRPr="005D03FF">
        <w:rPr>
          <w:sz w:val="18"/>
          <w:szCs w:val="22"/>
          <w:highlight w:val="yellow"/>
        </w:rPr>
        <w:t xml:space="preserve">3.  [CB]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af2"/>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宋体" w:hint="eastAsia"/>
                <w:lang w:eastAsia="zh-CN"/>
              </w:rPr>
              <w:t>N</w:t>
            </w:r>
            <w:r>
              <w:rPr>
                <w:rFonts w:eastAsia="宋体"/>
                <w:lang w:eastAsia="zh-CN"/>
              </w:rPr>
              <w:t>EC</w:t>
            </w:r>
          </w:p>
        </w:tc>
        <w:tc>
          <w:tcPr>
            <w:tcW w:w="2478" w:type="dxa"/>
          </w:tcPr>
          <w:p w14:paraId="3F240E6D" w14:textId="3367CFCF" w:rsidR="002D736D" w:rsidRDefault="002D736D" w:rsidP="002D736D">
            <w:r w:rsidRPr="00C769EC">
              <w:t>NumberOfTriggeringCells</w:t>
            </w:r>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1E0163" w14:paraId="3E7C83A6" w14:textId="77777777" w:rsidTr="00DC0D1B">
        <w:tc>
          <w:tcPr>
            <w:tcW w:w="1345" w:type="dxa"/>
          </w:tcPr>
          <w:p w14:paraId="395FC054" w14:textId="77777777" w:rsidR="001E0163" w:rsidRDefault="001E0163" w:rsidP="00DE07CD"/>
        </w:tc>
        <w:tc>
          <w:tcPr>
            <w:tcW w:w="2478" w:type="dxa"/>
          </w:tcPr>
          <w:p w14:paraId="2962268A" w14:textId="77777777" w:rsidR="001E0163" w:rsidRDefault="001E0163" w:rsidP="00DE07CD"/>
        </w:tc>
        <w:tc>
          <w:tcPr>
            <w:tcW w:w="5527" w:type="dxa"/>
          </w:tcPr>
          <w:p w14:paraId="356D55AC" w14:textId="77777777" w:rsidR="001E0163" w:rsidRDefault="001E0163" w:rsidP="00DE07CD"/>
        </w:tc>
      </w:tr>
      <w:tr w:rsidR="001E0163" w14:paraId="717556D4" w14:textId="77777777" w:rsidTr="00DC0D1B">
        <w:tc>
          <w:tcPr>
            <w:tcW w:w="1345" w:type="dxa"/>
          </w:tcPr>
          <w:p w14:paraId="255C5CE6" w14:textId="77777777" w:rsidR="001E0163" w:rsidRDefault="001E0163" w:rsidP="00DE07CD"/>
        </w:tc>
        <w:tc>
          <w:tcPr>
            <w:tcW w:w="2478" w:type="dxa"/>
          </w:tcPr>
          <w:p w14:paraId="6364BCF1" w14:textId="77777777" w:rsidR="001E0163" w:rsidRDefault="001E0163" w:rsidP="00DE07CD"/>
        </w:tc>
        <w:tc>
          <w:tcPr>
            <w:tcW w:w="5527" w:type="dxa"/>
          </w:tcPr>
          <w:p w14:paraId="2AB15E24" w14:textId="77777777" w:rsidR="001E0163" w:rsidRDefault="001E0163" w:rsidP="00DE07CD"/>
        </w:tc>
      </w:tr>
    </w:tbl>
    <w:p w14:paraId="60D70442" w14:textId="77777777" w:rsidR="001E0163" w:rsidRDefault="001E0163" w:rsidP="00DE07CD"/>
    <w:p w14:paraId="66FA35F6" w14:textId="08B9CBCD"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(e.g. whether it can be achieved by combination of events). </w:t>
      </w:r>
    </w:p>
    <w:p w14:paraId="054005C3" w14:textId="5053A94F" w:rsidR="00FD0E9B" w:rsidRDefault="001E0163" w:rsidP="00DE07CD">
      <w:r>
        <w:t xml:space="preserve">(Note: </w:t>
      </w:r>
      <w:r w:rsidR="00FB0E3C">
        <w:t>include</w:t>
      </w:r>
      <w:r>
        <w:t xml:space="preserve"> comments on how to specify height dependent Event A4 threshold)</w:t>
      </w:r>
    </w:p>
    <w:tbl>
      <w:tblPr>
        <w:tblStyle w:val="af2"/>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lastRenderedPageBreak/>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宋体"/>
                <w:lang w:eastAsia="zh-CN"/>
              </w:rPr>
              <w:t xml:space="preserve">But if we want associate </w:t>
            </w:r>
            <w:r>
              <w:t>MR 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77777777" w:rsidR="001E0163" w:rsidRDefault="001E0163" w:rsidP="00DE07CD"/>
        </w:tc>
        <w:tc>
          <w:tcPr>
            <w:tcW w:w="8005" w:type="dxa"/>
          </w:tcPr>
          <w:p w14:paraId="1614EA1E" w14:textId="77777777" w:rsidR="001E0163" w:rsidRDefault="001E0163" w:rsidP="00DE07CD"/>
        </w:tc>
      </w:tr>
      <w:tr w:rsidR="001E0163" w14:paraId="1A4D8EEC" w14:textId="77777777" w:rsidTr="001E0163">
        <w:tc>
          <w:tcPr>
            <w:tcW w:w="1345" w:type="dxa"/>
          </w:tcPr>
          <w:p w14:paraId="7FEAF145" w14:textId="77777777" w:rsidR="001E0163" w:rsidRDefault="001E0163" w:rsidP="00DE07CD"/>
        </w:tc>
        <w:tc>
          <w:tcPr>
            <w:tcW w:w="8005" w:type="dxa"/>
          </w:tcPr>
          <w:p w14:paraId="7336D9C7" w14:textId="77777777" w:rsidR="001E0163" w:rsidRDefault="001E0163" w:rsidP="00DE07CD"/>
        </w:tc>
      </w:tr>
    </w:tbl>
    <w:p w14:paraId="5077FE94" w14:textId="77777777" w:rsidR="001E0163" w:rsidRDefault="001E0163" w:rsidP="00DE07CD"/>
    <w:p w14:paraId="6D3C81CE" w14:textId="77777777" w:rsidR="00371C75" w:rsidRDefault="00371C75">
      <w:pPr>
        <w:pStyle w:val="af7"/>
        <w:ind w:left="0"/>
      </w:pPr>
    </w:p>
    <w:p w14:paraId="454CBB70" w14:textId="77777777" w:rsidR="00371C75" w:rsidRDefault="00127A67">
      <w:pPr>
        <w:pStyle w:val="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60B13" w14:textId="77777777" w:rsidR="00B8557F" w:rsidRDefault="00B8557F" w:rsidP="00B00450">
      <w:pPr>
        <w:spacing w:after="0" w:line="240" w:lineRule="auto"/>
      </w:pPr>
      <w:r>
        <w:separator/>
      </w:r>
    </w:p>
  </w:endnote>
  <w:endnote w:type="continuationSeparator" w:id="0">
    <w:p w14:paraId="1118BF34" w14:textId="77777777" w:rsidR="00B8557F" w:rsidRDefault="00B8557F"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5C58" w14:textId="77777777" w:rsidR="00B8557F" w:rsidRDefault="00B8557F" w:rsidP="00B00450">
      <w:pPr>
        <w:spacing w:after="0" w:line="240" w:lineRule="auto"/>
      </w:pPr>
      <w:r>
        <w:separator/>
      </w:r>
    </w:p>
  </w:footnote>
  <w:footnote w:type="continuationSeparator" w:id="0">
    <w:p w14:paraId="57E34E72" w14:textId="77777777" w:rsidR="00B8557F" w:rsidRDefault="00B8557F"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29"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8"/>
  </w:num>
  <w:num w:numId="3">
    <w:abstractNumId w:val="11"/>
  </w:num>
  <w:num w:numId="4">
    <w:abstractNumId w:val="4"/>
  </w:num>
  <w:num w:numId="5">
    <w:abstractNumId w:val="25"/>
  </w:num>
  <w:num w:numId="6">
    <w:abstractNumId w:val="20"/>
  </w:num>
  <w:num w:numId="7">
    <w:abstractNumId w:val="18"/>
  </w:num>
  <w:num w:numId="8">
    <w:abstractNumId w:val="7"/>
  </w:num>
  <w:num w:numId="9">
    <w:abstractNumId w:val="6"/>
  </w:num>
  <w:num w:numId="10">
    <w:abstractNumId w:val="16"/>
  </w:num>
  <w:num w:numId="11">
    <w:abstractNumId w:val="10"/>
  </w:num>
  <w:num w:numId="12">
    <w:abstractNumId w:val="12"/>
  </w:num>
  <w:num w:numId="13">
    <w:abstractNumId w:val="29"/>
  </w:num>
  <w:num w:numId="14">
    <w:abstractNumId w:val="17"/>
  </w:num>
  <w:num w:numId="15">
    <w:abstractNumId w:val="0"/>
  </w:num>
  <w:num w:numId="16">
    <w:abstractNumId w:val="27"/>
  </w:num>
  <w:num w:numId="17">
    <w:abstractNumId w:val="19"/>
  </w:num>
  <w:num w:numId="18">
    <w:abstractNumId w:val="9"/>
  </w:num>
  <w:num w:numId="19">
    <w:abstractNumId w:val="23"/>
  </w:num>
  <w:num w:numId="20">
    <w:abstractNumId w:val="22"/>
  </w:num>
  <w:num w:numId="21">
    <w:abstractNumId w:val="30"/>
  </w:num>
  <w:num w:numId="22">
    <w:abstractNumId w:val="21"/>
  </w:num>
  <w:num w:numId="23">
    <w:abstractNumId w:val="8"/>
  </w:num>
  <w:num w:numId="24">
    <w:abstractNumId w:val="2"/>
  </w:num>
  <w:num w:numId="25">
    <w:abstractNumId w:val="24"/>
  </w:num>
  <w:num w:numId="26">
    <w:abstractNumId w:val="15"/>
  </w:num>
  <w:num w:numId="27">
    <w:abstractNumId w:val="13"/>
  </w:num>
  <w:num w:numId="28">
    <w:abstractNumId w:val="3"/>
  </w:num>
  <w:num w:numId="29">
    <w:abstractNumId w:val="1"/>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B"/>
    <w:rsid w:val="000006C8"/>
    <w:rsid w:val="00000A68"/>
    <w:rsid w:val="00001130"/>
    <w:rsid w:val="000041A0"/>
    <w:rsid w:val="00004481"/>
    <w:rsid w:val="00004611"/>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a"/>
    <w:next w:val="a"/>
    <w:link w:val="21"/>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1"/>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a5"/>
    <w:uiPriority w:val="99"/>
    <w:unhideWhenUsed/>
    <w:qFormat/>
  </w:style>
  <w:style w:type="paragraph" w:styleId="a6">
    <w:name w:val="Body Text"/>
    <w:basedOn w:val="a"/>
    <w:link w:val="a7"/>
    <w:pPr>
      <w:overflowPunct/>
      <w:autoSpaceDE/>
      <w:autoSpaceDN/>
      <w:adjustRightInd/>
      <w:spacing w:after="120"/>
      <w:textAlignment w:val="auto"/>
    </w:pPr>
    <w:rPr>
      <w:rFonts w:ascii="Calibri" w:eastAsia="MS Mincho" w:hAnsi="Calibri"/>
      <w:lang w:val="en-US"/>
    </w:r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b"/>
    <w:link w:val="ac"/>
    <w:qFormat/>
    <w:pPr>
      <w:widowControl w:val="0"/>
      <w:jc w:val="center"/>
    </w:pPr>
    <w:rPr>
      <w:rFonts w:ascii="Arial" w:hAnsi="Arial"/>
      <w:b/>
      <w:i/>
      <w:sz w:val="18"/>
      <w:lang w:val="en-US"/>
    </w:rPr>
  </w:style>
  <w:style w:type="paragraph" w:styleId="ab">
    <w:name w:val="header"/>
    <w:basedOn w:val="a"/>
    <w:link w:val="ad"/>
    <w:unhideWhenUsed/>
    <w:qFormat/>
    <w:pPr>
      <w:tabs>
        <w:tab w:val="center" w:pos="4320"/>
        <w:tab w:val="right" w:pos="8640"/>
      </w:tabs>
      <w:spacing w:after="0"/>
    </w:pPr>
  </w:style>
  <w:style w:type="paragraph" w:styleId="11">
    <w:name w:val="toc 1"/>
    <w:basedOn w:val="a"/>
    <w:next w:val="a"/>
    <w:uiPriority w:val="39"/>
    <w:unhideWhenUsed/>
    <w:qFormat/>
    <w:pPr>
      <w:tabs>
        <w:tab w:val="left" w:pos="1320"/>
        <w:tab w:val="right" w:leader="dot" w:pos="9350"/>
      </w:tabs>
      <w:spacing w:after="10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f0">
    <w:name w:val="annotation subject"/>
    <w:basedOn w:val="a4"/>
    <w:next w:val="a4"/>
    <w:link w:val="af1"/>
    <w:uiPriority w:val="99"/>
    <w:semiHidden/>
    <w:unhideWhenUsed/>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f3">
    <w:name w:val="FollowedHyperlink"/>
    <w:basedOn w:val="a0"/>
    <w:uiPriority w:val="99"/>
    <w:semiHidden/>
    <w:unhideWhenUsed/>
    <w:qFormat/>
    <w:rPr>
      <w:color w:val="954F72" w:themeColor="followedHyperlink"/>
      <w:u w:val="single"/>
    </w:rPr>
  </w:style>
  <w:style w:type="character" w:styleId="af4">
    <w:name w:val="Emphasis"/>
    <w:basedOn w:val="a0"/>
    <w:uiPriority w:val="20"/>
    <w:qFormat/>
    <w:rPr>
      <w:i/>
      <w:iCs/>
    </w:rPr>
  </w:style>
  <w:style w:type="character" w:styleId="af5">
    <w:name w:val="Hyperlink"/>
    <w:uiPriority w:val="99"/>
    <w:rPr>
      <w:color w:val="0000FF"/>
      <w:u w:val="single"/>
    </w:rPr>
  </w:style>
  <w:style w:type="character" w:styleId="af6">
    <w:name w:val="annotation reference"/>
    <w:uiPriority w:val="99"/>
    <w:semiHidden/>
    <w:unhideWhenUsed/>
    <w:qFormat/>
    <w:rPr>
      <w:sz w:val="16"/>
      <w:szCs w:val="16"/>
    </w:rPr>
  </w:style>
  <w:style w:type="character" w:customStyle="1" w:styleId="Heading1Char">
    <w:name w:val="Heading 1 Char"/>
    <w:uiPriority w:val="9"/>
    <w:rPr>
      <w:rFonts w:ascii="Cambria" w:eastAsia="宋体" w:hAnsi="Cambria" w:cs="Times New Roman"/>
      <w:b/>
      <w:bCs/>
      <w:color w:val="365F91"/>
      <w:sz w:val="28"/>
      <w:szCs w:val="28"/>
      <w:lang w:val="en-GB" w:eastAsia="en-US"/>
    </w:rPr>
  </w:style>
  <w:style w:type="character" w:customStyle="1" w:styleId="10">
    <w:name w:val="标题 1 字符"/>
    <w:link w:val="1"/>
    <w:qFormat/>
    <w:rPr>
      <w:rFonts w:ascii="Arial" w:eastAsia="Times New Roman" w:hAnsi="Arial"/>
      <w:sz w:val="36"/>
      <w:lang w:val="en-GB"/>
    </w:rPr>
  </w:style>
  <w:style w:type="character" w:customStyle="1" w:styleId="a9">
    <w:name w:val="批注框文本 字符"/>
    <w:link w:val="a8"/>
    <w:uiPriority w:val="99"/>
    <w:semiHidden/>
    <w:qFormat/>
    <w:rPr>
      <w:rFonts w:ascii="Tahoma" w:eastAsia="Times New Roman" w:hAnsi="Tahoma" w:cs="Tahoma"/>
      <w:sz w:val="16"/>
      <w:szCs w:val="16"/>
      <w:lang w:val="en-GB" w:eastAsia="en-US"/>
    </w:rPr>
  </w:style>
  <w:style w:type="character" w:customStyle="1" w:styleId="ac">
    <w:name w:val="页脚 字符"/>
    <w:link w:val="aa"/>
    <w:qFormat/>
    <w:rPr>
      <w:rFonts w:ascii="Arial" w:eastAsia="Times New Roman" w:hAnsi="Arial" w:cs="Times New Roman"/>
      <w:b/>
      <w:i/>
      <w:sz w:val="18"/>
      <w:szCs w:val="20"/>
      <w:lang w:eastAsia="en-US"/>
    </w:rPr>
  </w:style>
  <w:style w:type="character" w:customStyle="1" w:styleId="ad">
    <w:name w:val="页眉 字符"/>
    <w:link w:val="ab"/>
    <w:semiHidden/>
    <w:rPr>
      <w:rFonts w:ascii="Times New Roman" w:eastAsia="Times New Roman" w:hAnsi="Times New Roman" w:cs="Times New Roman"/>
      <w:sz w:val="20"/>
      <w:szCs w:val="20"/>
      <w:lang w:val="en-GB" w:eastAsia="en-US"/>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록 단,列"/>
    <w:basedOn w:val="a"/>
    <w:link w:val="af8"/>
    <w:uiPriority w:val="34"/>
    <w:qFormat/>
    <w:pPr>
      <w:ind w:left="720"/>
      <w:contextualSpacing/>
    </w:pPr>
  </w:style>
  <w:style w:type="paragraph" w:customStyle="1" w:styleId="NO">
    <w:name w:val="NO"/>
    <w:basedOn w:val="a"/>
    <w:link w:val="NOChar"/>
    <w:pPr>
      <w:keepLines/>
      <w:overflowPunct/>
      <w:autoSpaceDE/>
      <w:autoSpaceDN/>
      <w:adjustRightInd/>
      <w:ind w:left="1135" w:hanging="851"/>
      <w:textAlignment w:val="auto"/>
    </w:pPr>
  </w:style>
  <w:style w:type="character" w:customStyle="1" w:styleId="21">
    <w:name w:val="标题 2 字符"/>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7">
    <w:name w:val="正文文本 字符"/>
    <w:link w:val="a6"/>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a5">
    <w:name w:val="批注文字 字符"/>
    <w:link w:val="a4"/>
    <w:uiPriority w:val="99"/>
    <w:rPr>
      <w:rFonts w:ascii="Times New Roman" w:eastAsia="Times New Roman" w:hAnsi="Times New Roman"/>
      <w:lang w:val="en-GB"/>
    </w:rPr>
  </w:style>
  <w:style w:type="character" w:customStyle="1" w:styleId="af1">
    <w:name w:val="批注主题 字符"/>
    <w:link w:val="af0"/>
    <w:uiPriority w:val="99"/>
    <w:semiHidden/>
    <w:qFormat/>
    <w:rPr>
      <w:rFonts w:ascii="Times New Roman" w:eastAsia="Times New Roman" w:hAnsi="Times New Roman"/>
      <w:b/>
      <w:bCs/>
      <w:lang w:val="en-GB"/>
    </w:rPr>
  </w:style>
  <w:style w:type="character" w:customStyle="1" w:styleId="31">
    <w:name w:val="标题 3 字符"/>
    <w:link w:val="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e"/>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9">
    <w:name w:val="Placeholder Text"/>
    <w:basedOn w:val="a0"/>
    <w:uiPriority w:val="99"/>
    <w:semiHidden/>
    <w:qFormat/>
    <w:rPr>
      <w:color w:val="808080"/>
    </w:rPr>
  </w:style>
  <w:style w:type="paragraph" w:styleId="afa">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7"/>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7"/>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0">
    <w:name w:val="标题 4 字符"/>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0">
    <w:name w:val="标题 5 字符"/>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0">
    <w:name w:val="标题 6 字符"/>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af8">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styleId="afb">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a"/>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2.xml><?xml version="1.0" encoding="utf-8"?>
<ds:datastoreItem xmlns:ds="http://schemas.openxmlformats.org/officeDocument/2006/customXml" ds:itemID="{59911442-4212-46E4-9950-7809D8D52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5.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8087C88-61D3-44B6-8C60-AC306721235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6</Pages>
  <Words>1696</Words>
  <Characters>9673</Characters>
  <Application>Microsoft Office Word</Application>
  <DocSecurity>0</DocSecurity>
  <Lines>80</Lines>
  <Paragraphs>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Xie Zonghui</cp:lastModifiedBy>
  <cp:revision>16</cp:revision>
  <dcterms:created xsi:type="dcterms:W3CDTF">2023-04-20T05:32:00Z</dcterms:created>
  <dcterms:modified xsi:type="dcterms:W3CDTF">2023-04-20T07:23:00Z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5ac76685-86f7-4a33-ae9b-66b258c54fb4</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0x010100C25F18D6B90E5F4ABEB578433DD5E523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