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rsidR="00023BF8" w:rsidRDefault="004450D1">
      <w:pPr>
        <w:pStyle w:val="CRCoverPage"/>
        <w:spacing w:after="240"/>
        <w:outlineLvl w:val="0"/>
        <w:rPr>
          <w:b/>
          <w:sz w:val="24"/>
        </w:rPr>
      </w:pPr>
      <w:r>
        <w:rPr>
          <w:b/>
          <w:sz w:val="24"/>
        </w:rPr>
        <w:t>Electronic meeting, 17th-26th April 2023</w:t>
      </w:r>
    </w:p>
    <w:p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w:t>
      </w:r>
      <w:proofErr w:type="gramEnd"/>
      <w:r>
        <w:rPr>
          <w:rFonts w:ascii="Arial" w:hAnsi="Arial" w:cs="Arial"/>
          <w:bCs/>
          <w:sz w:val="24"/>
        </w:rPr>
        <w:t xml:space="preserve">113][NR NTN] UE </w:t>
      </w:r>
      <w:r>
        <w:rPr>
          <w:rFonts w:ascii="Arial" w:hAnsi="Arial" w:cs="Arial"/>
          <w:bCs/>
          <w:sz w:val="24"/>
        </w:rPr>
        <w:t>capabilities (Intel)</w:t>
      </w:r>
    </w:p>
    <w:p w:rsidR="00023BF8" w:rsidRDefault="004450D1">
      <w:pPr>
        <w:rPr>
          <w:rFonts w:ascii="Arial" w:hAnsi="Arial" w:cs="Arial"/>
          <w:b/>
          <w:bCs/>
          <w:sz w:val="24"/>
          <w:lang w:eastAsia="zh-CN"/>
        </w:rPr>
      </w:pPr>
      <w:r>
        <w:rPr>
          <w:rFonts w:ascii="Arial" w:hAnsi="Arial" w:cs="Arial"/>
          <w:b/>
          <w:bCs/>
          <w:sz w:val="24"/>
        </w:rPr>
        <w:t xml:space="preserve">Document </w:t>
      </w:r>
      <w:proofErr w:type="gramStart"/>
      <w:r>
        <w:rPr>
          <w:rFonts w:ascii="Arial" w:hAnsi="Arial" w:cs="Arial"/>
          <w:b/>
          <w:bCs/>
          <w:sz w:val="24"/>
        </w:rPr>
        <w:t>for:</w:t>
      </w:r>
      <w:proofErr w:type="gramEnd"/>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rsidR="00023BF8" w:rsidRDefault="004450D1">
      <w:pPr>
        <w:pStyle w:val="Heading1"/>
        <w:numPr>
          <w:ilvl w:val="0"/>
          <w:numId w:val="4"/>
        </w:numPr>
      </w:pPr>
      <w:r>
        <w:t>Introduction</w:t>
      </w:r>
    </w:p>
    <w:p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w:t>
      </w:r>
      <w:proofErr w:type="spellStart"/>
      <w:r>
        <w:rPr>
          <w:lang w:val="en-GB"/>
        </w:rPr>
        <w:t>TDocs</w:t>
      </w:r>
      <w:proofErr w:type="spellEnd"/>
      <w:r>
        <w:rPr>
          <w:lang w:val="en-GB"/>
        </w:rPr>
        <w:t xml:space="preserve">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rsidR="00023BF8" w:rsidRDefault="004450D1">
      <w:pPr>
        <w:pStyle w:val="EmailDiscussion"/>
        <w:tabs>
          <w:tab w:val="clear" w:pos="1619"/>
          <w:tab w:val="left" w:pos="721"/>
        </w:tabs>
        <w:ind w:left="721"/>
        <w:rPr>
          <w:lang w:val="en-US" w:eastAsia="en-US"/>
        </w:rPr>
      </w:pPr>
      <w:r>
        <w:rPr>
          <w:lang w:val="en-US" w:eastAsia="en-US"/>
        </w:rPr>
        <w:t xml:space="preserve">[AT121bis-e][113][NR NTN] CP </w:t>
      </w:r>
      <w:r>
        <w:rPr>
          <w:lang w:val="en-US" w:eastAsia="en-US"/>
        </w:rPr>
        <w:t>corrections 2 (Intel)</w:t>
      </w:r>
    </w:p>
    <w:p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w:t>
      </w:r>
      <w:r>
        <w:rPr>
          <w:rFonts w:eastAsia="Times New Roman" w:cs="Arial"/>
          <w:color w:val="000000"/>
          <w:sz w:val="21"/>
          <w:szCs w:val="21"/>
        </w:rPr>
        <w:t>rapporteur's summary (in R2-2304253): Friday 2023-04-21 10:00 UTC</w:t>
      </w:r>
    </w:p>
    <w:p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w:t>
      </w:r>
      <w:r>
        <w:rPr>
          <w:u w:val="single"/>
        </w:rPr>
        <w:t>ontinue online).</w:t>
      </w:r>
    </w:p>
    <w:p w:rsidR="00023BF8" w:rsidRDefault="00023BF8">
      <w:pPr>
        <w:spacing w:after="60"/>
        <w:jc w:val="both"/>
      </w:pPr>
    </w:p>
    <w:p w:rsidR="00023BF8" w:rsidRDefault="004450D1">
      <w:pPr>
        <w:pStyle w:val="Heading1"/>
        <w:numPr>
          <w:ilvl w:val="0"/>
          <w:numId w:val="4"/>
        </w:numPr>
      </w:pPr>
      <w:r>
        <w:t>Discussion</w:t>
      </w:r>
    </w:p>
    <w:p w:rsidR="00023BF8" w:rsidRDefault="004450D1">
      <w:pPr>
        <w:pStyle w:val="Heading2"/>
      </w:pPr>
      <w:r>
        <w:t>Correction on NR NTN UE capabilities [1]</w:t>
      </w:r>
    </w:p>
    <w:p w:rsidR="00023BF8" w:rsidRDefault="004450D1">
      <w:pPr>
        <w:jc w:val="both"/>
      </w:pPr>
      <w:r>
        <w:t xml:space="preserve">In [1], the following two changes </w:t>
      </w:r>
      <w:proofErr w:type="gramStart"/>
      <w:r>
        <w:t>are proposed</w:t>
      </w:r>
      <w:proofErr w:type="gramEnd"/>
      <w:r>
        <w:t xml:space="preserve"> for TS 38.306 as below:</w:t>
      </w:r>
    </w:p>
    <w:p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tc>
          <w:tcPr>
            <w:tcW w:w="1795" w:type="dxa"/>
          </w:tcPr>
          <w:p w:rsidR="00023BF8" w:rsidRDefault="004450D1">
            <w:pPr>
              <w:jc w:val="both"/>
              <w:rPr>
                <w:lang w:eastAsia="ja-JP"/>
              </w:rPr>
            </w:pPr>
            <w:r>
              <w:rPr>
                <w:b/>
                <w:i/>
                <w:lang w:eastAsia="ja-JP"/>
              </w:rPr>
              <w:t>Reason for change</w:t>
            </w:r>
          </w:p>
        </w:tc>
        <w:tc>
          <w:tcPr>
            <w:tcW w:w="7555" w:type="dxa"/>
          </w:tcPr>
          <w:p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w:t>
            </w:r>
            <w:proofErr w:type="gramStart"/>
            <w:r>
              <w:rPr>
                <w:rFonts w:ascii="Arial" w:eastAsia="DengXian" w:hAnsi="Arial"/>
                <w:i/>
                <w:iCs/>
                <w:lang w:val="en-GB" w:eastAsia="zh-CN"/>
              </w:rPr>
              <w:t>condEventA4</w:t>
            </w:r>
            <w:proofErr w:type="gramEnd"/>
            <w:r>
              <w:rPr>
                <w:rFonts w:ascii="Arial" w:eastAsia="DengXian" w:hAnsi="Arial"/>
                <w:i/>
                <w:iCs/>
                <w:lang w:val="en-GB" w:eastAsia="zh-CN"/>
              </w:rPr>
              <w:t xml:space="preserve">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proofErr w:type="spellStart"/>
            <w:r>
              <w:rPr>
                <w:rFonts w:ascii="Arial" w:eastAsia="Times New Roman" w:hAnsi="Arial"/>
                <w:i/>
                <w:iCs/>
                <w:lang w:val="en-GB" w:eastAsia="ja-JP"/>
              </w:rPr>
              <w:t>condExecutionCond</w:t>
            </w:r>
            <w:proofErr w:type="spellEnd"/>
            <w:r>
              <w:rPr>
                <w:rFonts w:ascii="Arial" w:eastAsia="Times New Roman" w:hAnsi="Arial"/>
                <w:lang w:val="en-GB" w:eastAsia="ja-JP"/>
              </w:rPr>
              <w:t xml:space="preserve"> that “For CHO in terrestrial networks, the network does not indicate a </w:t>
            </w:r>
            <w:proofErr w:type="spellStart"/>
            <w:r>
              <w:rPr>
                <w:rFonts w:ascii="Arial" w:eastAsia="Times New Roman" w:hAnsi="Arial"/>
                <w:lang w:val="en-GB" w:eastAsia="ja-JP"/>
              </w:rPr>
              <w:t>MeasId</w:t>
            </w:r>
            <w:proofErr w:type="spellEnd"/>
            <w:r>
              <w:rPr>
                <w:rFonts w:ascii="Arial" w:eastAsia="Times New Roman" w:hAnsi="Arial"/>
                <w:lang w:val="en-GB" w:eastAsia="ja-JP"/>
              </w:rPr>
              <w:t xml:space="preserve"> associated with condEventA4. For CPA and for MN-initiated inter-SN CPC, the network only indicates </w:t>
            </w:r>
            <w:proofErr w:type="spellStart"/>
            <w:r>
              <w:rPr>
                <w:rFonts w:ascii="Arial" w:eastAsia="Times New Roman" w:hAnsi="Arial"/>
                <w:lang w:val="en-GB" w:eastAsia="ja-JP"/>
              </w:rPr>
              <w:t>MeasId</w:t>
            </w:r>
            <w:proofErr w:type="spellEnd"/>
            <w:r>
              <w:rPr>
                <w:rFonts w:ascii="Arial" w:eastAsia="Times New Roman" w:hAnsi="Arial"/>
                <w:lang w:val="en-GB" w:eastAsia="ja-JP"/>
              </w:rPr>
              <w:t>(s) associated with condEventA4”. The reason of change is “Conditional e</w:t>
            </w:r>
            <w:r>
              <w:rPr>
                <w:rFonts w:ascii="Arial" w:eastAsia="Times New Roman" w:hAnsi="Arial"/>
                <w:lang w:val="en-GB" w:eastAsia="ja-JP"/>
              </w:rPr>
              <w:t>vent A4 was added in Rel-17 and seems applicable to Rel-16 features like CHO and intra-SN CPC, or for Rel-17 inter-SN CPC, while RAN2 agreed to only use conditional event A4 for CPA and MN-</w:t>
            </w:r>
            <w:proofErr w:type="spellStart"/>
            <w:r>
              <w:rPr>
                <w:rFonts w:ascii="Arial" w:eastAsia="Times New Roman" w:hAnsi="Arial"/>
                <w:lang w:val="en-GB" w:eastAsia="ja-JP"/>
              </w:rPr>
              <w:t>initated</w:t>
            </w:r>
            <w:proofErr w:type="spellEnd"/>
            <w:r>
              <w:rPr>
                <w:rFonts w:ascii="Arial" w:eastAsia="Times New Roman" w:hAnsi="Arial"/>
                <w:lang w:val="en-GB" w:eastAsia="ja-JP"/>
              </w:rPr>
              <w:t xml:space="preserve"> CPC” in DCCA WI.</w:t>
            </w:r>
          </w:p>
          <w:p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In current field description of UE capabi</w:t>
            </w:r>
            <w:r>
              <w:rPr>
                <w:rFonts w:ascii="Arial" w:eastAsia="Times New Roman" w:hAnsi="Arial"/>
                <w:lang w:val="en-GB" w:eastAsia="ja-JP"/>
              </w:rPr>
              <w:t xml:space="preserve">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w:t>
            </w:r>
            <w:proofErr w:type="gramStart"/>
            <w:r>
              <w:rPr>
                <w:rFonts w:ascii="Arial" w:eastAsia="DengXian" w:hAnsi="Arial"/>
                <w:lang w:val="en-GB" w:eastAsia="zh-CN"/>
              </w:rPr>
              <w:t>But</w:t>
            </w:r>
            <w:proofErr w:type="gramEnd"/>
            <w:r>
              <w:rPr>
                <w:rFonts w:ascii="Arial" w:eastAsia="DengXian" w:hAnsi="Arial"/>
                <w:lang w:val="en-GB" w:eastAsia="zh-CN"/>
              </w:rPr>
              <w:t xml:space="preserve"> this is n</w:t>
            </w:r>
            <w:r>
              <w:rPr>
                <w:rFonts w:ascii="Arial" w:eastAsia="DengXian" w:hAnsi="Arial"/>
                <w:lang w:val="en-GB" w:eastAsia="zh-CN"/>
              </w:rPr>
              <w:t xml:space="preserve">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w:t>
            </w:r>
            <w:proofErr w:type="gramStart"/>
            <w:r>
              <w:rPr>
                <w:rFonts w:ascii="Arial" w:eastAsia="Times New Roman" w:hAnsi="Arial"/>
                <w:lang w:val="en-GB" w:eastAsia="ja-JP"/>
              </w:rPr>
              <w:t>is needed</w:t>
            </w:r>
            <w:proofErr w:type="gramEnd"/>
            <w:r>
              <w:rPr>
                <w:rFonts w:ascii="Arial" w:eastAsia="Times New Roman" w:hAnsi="Arial"/>
                <w:lang w:val="en-GB" w:eastAsia="ja-JP"/>
              </w:rPr>
              <w:t>,</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w:t>
            </w:r>
            <w:r>
              <w:rPr>
                <w:rFonts w:ascii="Arial" w:eastAsia="DengXian" w:hAnsi="Arial"/>
                <w:lang w:val="en-GB" w:eastAsia="zh-CN"/>
              </w:rPr>
              <w:t>ted</w:t>
            </w:r>
            <w:r>
              <w:rPr>
                <w:rFonts w:ascii="Arial" w:eastAsia="Times New Roman" w:hAnsi="Arial"/>
                <w:lang w:val="en-GB" w:eastAsia="ja-JP"/>
              </w:rPr>
              <w:t>.</w:t>
            </w:r>
            <w:r>
              <w:rPr>
                <w:rFonts w:ascii="Arial" w:eastAsia="DengXian" w:hAnsi="Arial"/>
                <w:lang w:val="en-GB" w:eastAsia="zh-CN"/>
              </w:rPr>
              <w:t xml:space="preserve"> </w:t>
            </w:r>
          </w:p>
        </w:tc>
      </w:tr>
      <w:tr w:rsidR="00023BF8">
        <w:tc>
          <w:tcPr>
            <w:tcW w:w="1795" w:type="dxa"/>
          </w:tcPr>
          <w:p w:rsidR="00023BF8" w:rsidRDefault="004450D1">
            <w:pPr>
              <w:jc w:val="both"/>
              <w:rPr>
                <w:lang w:eastAsia="ja-JP"/>
              </w:rPr>
            </w:pPr>
            <w:r>
              <w:rPr>
                <w:b/>
                <w:i/>
                <w:lang w:eastAsia="ja-JP"/>
              </w:rPr>
              <w:lastRenderedPageBreak/>
              <w:t>Summary of change</w:t>
            </w:r>
          </w:p>
        </w:tc>
        <w:tc>
          <w:tcPr>
            <w:tcW w:w="7555" w:type="dxa"/>
          </w:tcPr>
          <w:p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rsidR="00023BF8" w:rsidRDefault="00023BF8">
            <w:pPr>
              <w:jc w:val="both"/>
              <w:rPr>
                <w:lang w:eastAsia="ja-JP"/>
              </w:rPr>
            </w:pPr>
          </w:p>
        </w:tc>
      </w:tr>
      <w:tr w:rsidR="00023BF8">
        <w:tc>
          <w:tcPr>
            <w:tcW w:w="1795" w:type="dxa"/>
          </w:tcPr>
          <w:p w:rsidR="00023BF8" w:rsidRDefault="004450D1">
            <w:pPr>
              <w:jc w:val="both"/>
              <w:rPr>
                <w:lang w:eastAsia="ja-JP"/>
              </w:rPr>
            </w:pPr>
            <w:r>
              <w:rPr>
                <w:b/>
                <w:i/>
                <w:lang w:eastAsia="ja-JP"/>
              </w:rPr>
              <w:t>Proposed change</w:t>
            </w:r>
          </w:p>
        </w:tc>
        <w:tc>
          <w:tcPr>
            <w:tcW w:w="7555" w:type="dxa"/>
          </w:tcPr>
          <w:p w:rsidR="00023BF8" w:rsidRDefault="004450D1">
            <w:pPr>
              <w:jc w:val="both"/>
              <w:rPr>
                <w:lang w:eastAsia="ja-JP"/>
              </w:rPr>
            </w:pPr>
            <w:r>
              <w:rPr>
                <w:noProof/>
                <w:lang w:val="fr-FR" w:eastAsia="zh-CN"/>
              </w:rPr>
              <w:drawing>
                <wp:inline distT="0" distB="0" distL="0" distR="0">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rsidR="00023BF8" w:rsidRDefault="00023BF8">
      <w:pPr>
        <w:jc w:val="both"/>
      </w:pPr>
    </w:p>
    <w:p w:rsidR="00023BF8" w:rsidRDefault="004450D1">
      <w:pPr>
        <w:pStyle w:val="ListParagraph"/>
        <w:numPr>
          <w:ilvl w:val="0"/>
          <w:numId w:val="6"/>
        </w:numPr>
        <w:ind w:left="360"/>
        <w:jc w:val="both"/>
      </w:pPr>
      <w:r>
        <w:t xml:space="preserve">Whether the first proposed change in [1] </w:t>
      </w:r>
      <w:proofErr w:type="gramStart"/>
      <w:r>
        <w:t>can be agreed</w:t>
      </w:r>
      <w:proofErr w:type="gramEnd"/>
      <w:r>
        <w:t>?</w:t>
      </w:r>
    </w:p>
    <w:tbl>
      <w:tblPr>
        <w:tblStyle w:val="TableGrid"/>
        <w:tblW w:w="0" w:type="auto"/>
        <w:tblLook w:val="04A0" w:firstRow="1" w:lastRow="0" w:firstColumn="1" w:lastColumn="0" w:noHBand="0" w:noVBand="1"/>
      </w:tblPr>
      <w:tblGrid>
        <w:gridCol w:w="1975"/>
        <w:gridCol w:w="1170"/>
        <w:gridCol w:w="6205"/>
      </w:tblGrid>
      <w:tr w:rsidR="00023BF8">
        <w:tc>
          <w:tcPr>
            <w:tcW w:w="1975" w:type="dxa"/>
            <w:shd w:val="clear" w:color="auto" w:fill="BFBFBF" w:themeFill="background1" w:themeFillShade="BF"/>
          </w:tcPr>
          <w:p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rsidR="00023BF8" w:rsidRDefault="004450D1">
            <w:pPr>
              <w:spacing w:after="0"/>
              <w:jc w:val="center"/>
              <w:rPr>
                <w:b/>
                <w:bCs/>
                <w:lang w:eastAsia="ja-JP"/>
              </w:rPr>
            </w:pPr>
            <w:r>
              <w:rPr>
                <w:b/>
                <w:bCs/>
                <w:lang w:eastAsia="ja-JP"/>
              </w:rPr>
              <w:t>Comments, if any</w:t>
            </w:r>
          </w:p>
        </w:tc>
      </w:tr>
      <w:tr w:rsidR="00023BF8">
        <w:tc>
          <w:tcPr>
            <w:tcW w:w="1975" w:type="dxa"/>
          </w:tcPr>
          <w:p w:rsidR="00023BF8" w:rsidRDefault="004450D1">
            <w:pPr>
              <w:spacing w:after="0"/>
              <w:rPr>
                <w:lang w:eastAsia="ja-JP"/>
              </w:rPr>
            </w:pPr>
            <w:proofErr w:type="spellStart"/>
            <w:r>
              <w:rPr>
                <w:lang w:eastAsia="ja-JP"/>
              </w:rPr>
              <w:t>MediaTek</w:t>
            </w:r>
            <w:proofErr w:type="spellEnd"/>
          </w:p>
        </w:tc>
        <w:tc>
          <w:tcPr>
            <w:tcW w:w="1170" w:type="dxa"/>
          </w:tcPr>
          <w:p w:rsidR="00023BF8" w:rsidRDefault="004450D1">
            <w:pPr>
              <w:spacing w:after="0"/>
              <w:rPr>
                <w:lang w:eastAsia="ja-JP"/>
              </w:rPr>
            </w:pPr>
            <w:r>
              <w:rPr>
                <w:lang w:eastAsia="ja-JP"/>
              </w:rPr>
              <w:t>Y</w:t>
            </w:r>
          </w:p>
        </w:tc>
        <w:tc>
          <w:tcPr>
            <w:tcW w:w="6205" w:type="dxa"/>
          </w:tcPr>
          <w:p w:rsidR="00023BF8" w:rsidRDefault="00023BF8">
            <w:pPr>
              <w:spacing w:after="0"/>
              <w:rPr>
                <w:lang w:eastAsia="ja-JP"/>
              </w:rPr>
            </w:pPr>
          </w:p>
        </w:tc>
      </w:tr>
      <w:tr w:rsidR="00023BF8">
        <w:tc>
          <w:tcPr>
            <w:tcW w:w="1975" w:type="dxa"/>
          </w:tcPr>
          <w:p w:rsidR="00023BF8" w:rsidRDefault="004450D1">
            <w:pPr>
              <w:spacing w:after="0"/>
              <w:rPr>
                <w:lang w:eastAsia="zh-CN"/>
              </w:rPr>
            </w:pPr>
            <w:r>
              <w:rPr>
                <w:rFonts w:hint="eastAsia"/>
                <w:lang w:eastAsia="zh-CN"/>
              </w:rPr>
              <w:t>v</w:t>
            </w:r>
            <w:r>
              <w:rPr>
                <w:lang w:eastAsia="zh-CN"/>
              </w:rPr>
              <w:t>ivo</w:t>
            </w:r>
          </w:p>
        </w:tc>
        <w:tc>
          <w:tcPr>
            <w:tcW w:w="1170" w:type="dxa"/>
          </w:tcPr>
          <w:p w:rsidR="00023BF8" w:rsidRDefault="004450D1">
            <w:pPr>
              <w:spacing w:after="0"/>
              <w:rPr>
                <w:lang w:eastAsia="zh-CN"/>
              </w:rPr>
            </w:pPr>
            <w:r>
              <w:rPr>
                <w:rFonts w:hint="eastAsia"/>
                <w:lang w:eastAsia="zh-CN"/>
              </w:rPr>
              <w:t>N</w:t>
            </w:r>
          </w:p>
        </w:tc>
        <w:tc>
          <w:tcPr>
            <w:tcW w:w="6205" w:type="dxa"/>
          </w:tcPr>
          <w:p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tc>
          <w:tcPr>
            <w:tcW w:w="1975" w:type="dxa"/>
          </w:tcPr>
          <w:p w:rsidR="00023BF8" w:rsidRDefault="004450D1">
            <w:pPr>
              <w:spacing w:after="0"/>
              <w:rPr>
                <w:lang w:eastAsia="ja-JP"/>
              </w:rPr>
            </w:pPr>
            <w:r>
              <w:rPr>
                <w:lang w:eastAsia="ja-JP"/>
              </w:rPr>
              <w:t>Intel</w:t>
            </w:r>
          </w:p>
        </w:tc>
        <w:tc>
          <w:tcPr>
            <w:tcW w:w="1170" w:type="dxa"/>
          </w:tcPr>
          <w:p w:rsidR="00023BF8" w:rsidRDefault="004450D1">
            <w:pPr>
              <w:spacing w:after="0"/>
              <w:rPr>
                <w:lang w:eastAsia="ja-JP"/>
              </w:rPr>
            </w:pPr>
            <w:r>
              <w:rPr>
                <w:lang w:eastAsia="ja-JP"/>
              </w:rPr>
              <w:t>Y</w:t>
            </w:r>
          </w:p>
        </w:tc>
        <w:tc>
          <w:tcPr>
            <w:tcW w:w="6205" w:type="dxa"/>
          </w:tcPr>
          <w:p w:rsidR="00023BF8" w:rsidRDefault="004450D1">
            <w:pPr>
              <w:spacing w:after="0"/>
              <w:rPr>
                <w:lang w:eastAsia="ja-JP"/>
              </w:rPr>
            </w:pPr>
            <w:r>
              <w:rPr>
                <w:lang w:eastAsia="ja-JP"/>
              </w:rPr>
              <w:t xml:space="preserve">Proponent. This is a clarification from UE capability </w:t>
            </w:r>
            <w:proofErr w:type="spellStart"/>
            <w:r>
              <w:rPr>
                <w:lang w:eastAsia="ja-JP"/>
              </w:rPr>
              <w:t>pov</w:t>
            </w:r>
            <w:proofErr w:type="spellEnd"/>
            <w:r>
              <w:rPr>
                <w:lang w:eastAsia="ja-JP"/>
              </w:rPr>
              <w:t>, the clarification of NW configuration has been clarified in previous RRC CR.</w:t>
            </w:r>
          </w:p>
        </w:tc>
      </w:tr>
      <w:tr w:rsidR="00023BF8">
        <w:tc>
          <w:tcPr>
            <w:tcW w:w="1975" w:type="dxa"/>
          </w:tcPr>
          <w:p w:rsidR="00023BF8" w:rsidRDefault="004450D1">
            <w:pPr>
              <w:spacing w:after="0"/>
              <w:rPr>
                <w:lang w:eastAsia="zh-CN"/>
              </w:rPr>
            </w:pPr>
            <w:r>
              <w:rPr>
                <w:rFonts w:hint="eastAsia"/>
                <w:lang w:eastAsia="zh-CN"/>
              </w:rPr>
              <w:t>O</w:t>
            </w:r>
            <w:r>
              <w:rPr>
                <w:lang w:eastAsia="zh-CN"/>
              </w:rPr>
              <w:t>PPO</w:t>
            </w:r>
          </w:p>
        </w:tc>
        <w:tc>
          <w:tcPr>
            <w:tcW w:w="1170" w:type="dxa"/>
          </w:tcPr>
          <w:p w:rsidR="00023BF8" w:rsidRDefault="004450D1">
            <w:pPr>
              <w:spacing w:after="0"/>
              <w:rPr>
                <w:lang w:eastAsia="zh-CN"/>
              </w:rPr>
            </w:pPr>
            <w:r>
              <w:rPr>
                <w:rFonts w:hint="eastAsia"/>
                <w:lang w:eastAsia="zh-CN"/>
              </w:rPr>
              <w:t>Y</w:t>
            </w:r>
          </w:p>
        </w:tc>
        <w:tc>
          <w:tcPr>
            <w:tcW w:w="6205" w:type="dxa"/>
          </w:tcPr>
          <w:p w:rsidR="00023BF8" w:rsidRDefault="00023BF8">
            <w:pPr>
              <w:spacing w:after="0"/>
              <w:rPr>
                <w:lang w:val="en-GB" w:eastAsia="zh-CN"/>
              </w:rPr>
            </w:pPr>
          </w:p>
        </w:tc>
      </w:tr>
      <w:tr w:rsidR="00023BF8">
        <w:tc>
          <w:tcPr>
            <w:tcW w:w="1975" w:type="dxa"/>
          </w:tcPr>
          <w:p w:rsidR="00023BF8" w:rsidRDefault="004450D1">
            <w:pPr>
              <w:spacing w:after="0"/>
              <w:rPr>
                <w:lang w:eastAsia="zh-CN"/>
              </w:rPr>
            </w:pPr>
            <w:r>
              <w:rPr>
                <w:rFonts w:hint="eastAsia"/>
                <w:lang w:eastAsia="zh-CN"/>
              </w:rPr>
              <w:t>X</w:t>
            </w:r>
            <w:r>
              <w:rPr>
                <w:lang w:eastAsia="zh-CN"/>
              </w:rPr>
              <w:t>iaomi</w:t>
            </w:r>
          </w:p>
        </w:tc>
        <w:tc>
          <w:tcPr>
            <w:tcW w:w="1170" w:type="dxa"/>
          </w:tcPr>
          <w:p w:rsidR="00023BF8" w:rsidRDefault="004450D1">
            <w:pPr>
              <w:spacing w:after="0"/>
              <w:rPr>
                <w:lang w:eastAsia="zh-CN"/>
              </w:rPr>
            </w:pPr>
            <w:r>
              <w:rPr>
                <w:rFonts w:hint="eastAsia"/>
                <w:lang w:eastAsia="zh-CN"/>
              </w:rPr>
              <w:t>N</w:t>
            </w:r>
            <w:r>
              <w:rPr>
                <w:lang w:eastAsia="zh-CN"/>
              </w:rPr>
              <w:t>o</w:t>
            </w:r>
          </w:p>
        </w:tc>
        <w:tc>
          <w:tcPr>
            <w:tcW w:w="6205" w:type="dxa"/>
          </w:tcPr>
          <w:p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w:t>
            </w:r>
            <w:proofErr w:type="gramStart"/>
            <w:r>
              <w:rPr>
                <w:lang w:val="en-GB" w:eastAsia="zh-CN"/>
              </w:rPr>
              <w:t>can’t</w:t>
            </w:r>
            <w:proofErr w:type="gramEnd"/>
            <w:r>
              <w:rPr>
                <w:lang w:val="en-GB" w:eastAsia="zh-CN"/>
              </w:rPr>
              <w:t xml:space="preserve"> configure the condEventA4 CHO for UE according to the RRC spec, the change is not essential.</w:t>
            </w:r>
          </w:p>
        </w:tc>
      </w:tr>
      <w:tr w:rsidR="00023BF8">
        <w:trPr>
          <w:trHeight w:val="90"/>
        </w:trPr>
        <w:tc>
          <w:tcPr>
            <w:tcW w:w="1975" w:type="dxa"/>
          </w:tcPr>
          <w:p w:rsidR="00023BF8" w:rsidRDefault="004450D1">
            <w:pPr>
              <w:spacing w:after="0"/>
              <w:rPr>
                <w:lang w:eastAsia="zh-CN"/>
              </w:rPr>
            </w:pPr>
            <w:r>
              <w:rPr>
                <w:rFonts w:hint="eastAsia"/>
                <w:lang w:eastAsia="zh-CN"/>
              </w:rPr>
              <w:t>ZTE</w:t>
            </w:r>
          </w:p>
        </w:tc>
        <w:tc>
          <w:tcPr>
            <w:tcW w:w="1170" w:type="dxa"/>
          </w:tcPr>
          <w:p w:rsidR="00023BF8" w:rsidRDefault="004450D1">
            <w:pPr>
              <w:spacing w:after="0"/>
              <w:rPr>
                <w:lang w:eastAsia="zh-CN"/>
              </w:rPr>
            </w:pPr>
            <w:r>
              <w:rPr>
                <w:rFonts w:hint="eastAsia"/>
                <w:lang w:eastAsia="zh-CN"/>
              </w:rPr>
              <w:t>Can</w:t>
            </w:r>
            <w:r>
              <w:rPr>
                <w:rFonts w:hint="eastAsia"/>
                <w:lang w:eastAsia="zh-CN"/>
              </w:rPr>
              <w:t xml:space="preserve"> go with majority</w:t>
            </w:r>
          </w:p>
        </w:tc>
        <w:tc>
          <w:tcPr>
            <w:tcW w:w="6205" w:type="dxa"/>
          </w:tcPr>
          <w:p w:rsidR="00023BF8" w:rsidRDefault="004450D1">
            <w:pPr>
              <w:spacing w:after="0"/>
              <w:rPr>
                <w:lang w:eastAsia="zh-CN"/>
              </w:rPr>
            </w:pPr>
            <w:r>
              <w:rPr>
                <w:rFonts w:hint="eastAsia"/>
                <w:lang w:eastAsia="zh-CN"/>
              </w:rPr>
              <w:t>The correction is not wrong but also not so essential.</w:t>
            </w:r>
          </w:p>
        </w:tc>
      </w:tr>
      <w:tr w:rsidR="00023BF8">
        <w:tc>
          <w:tcPr>
            <w:tcW w:w="1975" w:type="dxa"/>
          </w:tcPr>
          <w:p w:rsidR="00023BF8" w:rsidRDefault="00BB201C">
            <w:pPr>
              <w:spacing w:after="0"/>
              <w:rPr>
                <w:lang w:eastAsia="ja-JP"/>
              </w:rPr>
            </w:pPr>
            <w:r>
              <w:rPr>
                <w:lang w:eastAsia="ja-JP"/>
              </w:rPr>
              <w:t>Thales</w:t>
            </w:r>
          </w:p>
        </w:tc>
        <w:tc>
          <w:tcPr>
            <w:tcW w:w="1170" w:type="dxa"/>
          </w:tcPr>
          <w:p w:rsidR="00023BF8" w:rsidRDefault="00BB201C">
            <w:pPr>
              <w:spacing w:after="0"/>
              <w:rPr>
                <w:lang w:eastAsia="ja-JP"/>
              </w:rPr>
            </w:pPr>
            <w:r>
              <w:rPr>
                <w:lang w:eastAsia="ja-JP"/>
              </w:rPr>
              <w:t>No strong view</w:t>
            </w:r>
          </w:p>
        </w:tc>
        <w:tc>
          <w:tcPr>
            <w:tcW w:w="6205" w:type="dxa"/>
          </w:tcPr>
          <w:p w:rsidR="00023BF8" w:rsidRDefault="00BB201C">
            <w:pPr>
              <w:spacing w:after="0"/>
              <w:rPr>
                <w:lang w:val="en-GB" w:eastAsia="ja-JP"/>
              </w:rPr>
            </w:pPr>
            <w:r>
              <w:rPr>
                <w:lang w:val="en-GB" w:eastAsia="ja-JP"/>
              </w:rPr>
              <w:t>Share ZTE’s view, not so essential.</w:t>
            </w: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bl>
    <w:p w:rsidR="00023BF8" w:rsidRDefault="00023BF8"/>
    <w:p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tc>
          <w:tcPr>
            <w:tcW w:w="1795" w:type="dxa"/>
          </w:tcPr>
          <w:p w:rsidR="00023BF8" w:rsidRDefault="004450D1">
            <w:pPr>
              <w:jc w:val="both"/>
              <w:rPr>
                <w:lang w:eastAsia="ja-JP"/>
              </w:rPr>
            </w:pPr>
            <w:r>
              <w:rPr>
                <w:b/>
                <w:i/>
                <w:lang w:eastAsia="ja-JP"/>
              </w:rPr>
              <w:t>Reason for change</w:t>
            </w:r>
          </w:p>
        </w:tc>
        <w:tc>
          <w:tcPr>
            <w:tcW w:w="7555" w:type="dxa"/>
          </w:tcPr>
          <w:p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w:t>
            </w:r>
            <w:proofErr w:type="gramStart"/>
            <w:r>
              <w:rPr>
                <w:rFonts w:ascii="Arial" w:eastAsia="DengXian" w:hAnsi="Arial"/>
                <w:lang w:val="en-GB" w:eastAsia="zh-CN"/>
              </w:rPr>
              <w:t>is aligned</w:t>
            </w:r>
            <w:proofErr w:type="gramEnd"/>
            <w:r>
              <w:rPr>
                <w:rFonts w:ascii="Arial" w:eastAsia="DengXian" w:hAnsi="Arial"/>
                <w:lang w:val="en-GB" w:eastAsia="zh-CN"/>
              </w:rPr>
              <w:t xml:space="preserve"> to where its key parameters (i.e., </w:t>
            </w:r>
            <w:proofErr w:type="spellStart"/>
            <w:r>
              <w:rPr>
                <w:rFonts w:ascii="Arial" w:eastAsia="DengXian" w:hAnsi="Arial"/>
                <w:lang w:val="en-GB" w:eastAsia="zh-CN"/>
              </w:rPr>
              <w:t>referenceLocation</w:t>
            </w:r>
            <w:proofErr w:type="spellEnd"/>
            <w:r>
              <w:rPr>
                <w:rFonts w:ascii="Arial" w:eastAsia="DengXian" w:hAnsi="Arial"/>
                <w:lang w:val="en-GB" w:eastAsia="zh-CN"/>
              </w:rPr>
              <w:t xml:space="preserve"> and t-Service) are currently defined, i.e., they are only bro</w:t>
            </w:r>
            <w:r>
              <w:rPr>
                <w:rFonts w:ascii="Arial" w:eastAsia="DengXian" w:hAnsi="Arial"/>
                <w:lang w:val="en-GB" w:eastAsia="zh-CN"/>
              </w:rPr>
              <w:t xml:space="preserve">adcast in NTN quasi-Earth fixed system information. The corresponding restrictions </w:t>
            </w:r>
            <w:proofErr w:type="gramStart"/>
            <w:r>
              <w:rPr>
                <w:rFonts w:ascii="Arial" w:eastAsia="DengXian" w:hAnsi="Arial"/>
                <w:lang w:val="en-GB" w:eastAsia="zh-CN"/>
              </w:rPr>
              <w:t>should also be added</w:t>
            </w:r>
            <w:proofErr w:type="gramEnd"/>
            <w:r>
              <w:rPr>
                <w:rFonts w:ascii="Arial" w:eastAsia="DengXian" w:hAnsi="Arial"/>
                <w:lang w:val="en-GB" w:eastAsia="zh-CN"/>
              </w:rPr>
              <w:t xml:space="preserve"> in UE capability descriptions. </w:t>
            </w:r>
          </w:p>
        </w:tc>
      </w:tr>
      <w:tr w:rsidR="00023BF8">
        <w:tc>
          <w:tcPr>
            <w:tcW w:w="1795" w:type="dxa"/>
          </w:tcPr>
          <w:p w:rsidR="00023BF8" w:rsidRDefault="004450D1">
            <w:pPr>
              <w:jc w:val="both"/>
              <w:rPr>
                <w:lang w:eastAsia="ja-JP"/>
              </w:rPr>
            </w:pPr>
            <w:r>
              <w:rPr>
                <w:b/>
                <w:i/>
                <w:lang w:eastAsia="ja-JP"/>
              </w:rPr>
              <w:t>Summary of change</w:t>
            </w:r>
          </w:p>
        </w:tc>
        <w:tc>
          <w:tcPr>
            <w:tcW w:w="7555" w:type="dxa"/>
          </w:tcPr>
          <w:p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proofErr w:type="gramStart"/>
            <w:r>
              <w:rPr>
                <w:rFonts w:ascii="Arial" w:eastAsia="Times New Roman" w:hAnsi="Arial"/>
                <w:lang w:val="en-GB" w:eastAsia="ja-JP"/>
              </w:rPr>
              <w:t>Add</w:t>
            </w:r>
            <w:proofErr w:type="gramEnd"/>
            <w:r>
              <w:rPr>
                <w:rFonts w:ascii="Arial" w:eastAsia="Times New Roman" w:hAnsi="Arial"/>
                <w:lang w:val="en-GB" w:eastAsia="ja-JP"/>
              </w:rPr>
              <w:t xml:space="preserve"> “in NTN quasi-Earth fixed system” in the description of Location-based measurement initiation fea</w:t>
            </w:r>
            <w:r>
              <w:rPr>
                <w:rFonts w:ascii="Arial" w:eastAsia="Times New Roman" w:hAnsi="Arial"/>
                <w:lang w:val="en-GB" w:eastAsia="ja-JP"/>
              </w:rPr>
              <w:t>ture and Time-based measurement initiation feature, and make one editorial change accordingly.</w:t>
            </w:r>
          </w:p>
        </w:tc>
      </w:tr>
      <w:tr w:rsidR="00023BF8">
        <w:tc>
          <w:tcPr>
            <w:tcW w:w="1795" w:type="dxa"/>
          </w:tcPr>
          <w:p w:rsidR="00023BF8" w:rsidRDefault="004450D1">
            <w:pPr>
              <w:jc w:val="both"/>
              <w:rPr>
                <w:lang w:eastAsia="ja-JP"/>
              </w:rPr>
            </w:pPr>
            <w:r>
              <w:rPr>
                <w:b/>
                <w:i/>
                <w:lang w:eastAsia="ja-JP"/>
              </w:rPr>
              <w:t>Proposed change</w:t>
            </w:r>
          </w:p>
        </w:tc>
        <w:tc>
          <w:tcPr>
            <w:tcW w:w="7555" w:type="dxa"/>
          </w:tcPr>
          <w:p w:rsidR="00023BF8" w:rsidRDefault="004450D1">
            <w:pPr>
              <w:jc w:val="both"/>
              <w:rPr>
                <w:lang w:eastAsia="ja-JP"/>
              </w:rPr>
            </w:pPr>
            <w:r>
              <w:rPr>
                <w:noProof/>
                <w:lang w:val="fr-FR" w:eastAsia="zh-CN"/>
              </w:rPr>
              <w:drawing>
                <wp:inline distT="0" distB="0" distL="0" distR="0">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rsidR="00023BF8" w:rsidRDefault="004450D1">
            <w:pPr>
              <w:jc w:val="both"/>
              <w:rPr>
                <w:lang w:eastAsia="ja-JP"/>
              </w:rPr>
            </w:pPr>
            <w:r>
              <w:rPr>
                <w:noProof/>
                <w:lang w:val="fr-FR" w:eastAsia="zh-CN"/>
              </w:rPr>
              <w:drawing>
                <wp:inline distT="0" distB="0" distL="0" distR="0">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rsidR="00023BF8" w:rsidRDefault="00023BF8">
      <w:pPr>
        <w:jc w:val="both"/>
      </w:pPr>
    </w:p>
    <w:p w:rsidR="00023BF8" w:rsidRDefault="004450D1">
      <w:pPr>
        <w:pStyle w:val="ListParagraph"/>
        <w:numPr>
          <w:ilvl w:val="0"/>
          <w:numId w:val="6"/>
        </w:numPr>
        <w:ind w:left="360"/>
        <w:jc w:val="both"/>
      </w:pPr>
      <w:r>
        <w:t xml:space="preserve">Whether the second proposed change in [1] </w:t>
      </w:r>
      <w:proofErr w:type="gramStart"/>
      <w:r>
        <w:t>can be agreed</w:t>
      </w:r>
      <w:proofErr w:type="gramEnd"/>
      <w:r>
        <w:t>?</w:t>
      </w:r>
    </w:p>
    <w:tbl>
      <w:tblPr>
        <w:tblStyle w:val="TableGrid"/>
        <w:tblW w:w="0" w:type="auto"/>
        <w:tblLook w:val="04A0" w:firstRow="1" w:lastRow="0" w:firstColumn="1" w:lastColumn="0" w:noHBand="0" w:noVBand="1"/>
      </w:tblPr>
      <w:tblGrid>
        <w:gridCol w:w="1975"/>
        <w:gridCol w:w="1170"/>
        <w:gridCol w:w="6205"/>
      </w:tblGrid>
      <w:tr w:rsidR="00023BF8">
        <w:tc>
          <w:tcPr>
            <w:tcW w:w="1975" w:type="dxa"/>
            <w:shd w:val="clear" w:color="auto" w:fill="BFBFBF" w:themeFill="background1" w:themeFillShade="BF"/>
          </w:tcPr>
          <w:p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rsidR="00023BF8" w:rsidRDefault="004450D1">
            <w:pPr>
              <w:spacing w:after="0"/>
              <w:jc w:val="center"/>
              <w:rPr>
                <w:b/>
                <w:bCs/>
                <w:lang w:eastAsia="ja-JP"/>
              </w:rPr>
            </w:pPr>
            <w:r>
              <w:rPr>
                <w:b/>
                <w:bCs/>
                <w:lang w:eastAsia="ja-JP"/>
              </w:rPr>
              <w:t>Comments, if any</w:t>
            </w:r>
          </w:p>
        </w:tc>
      </w:tr>
      <w:tr w:rsidR="00023BF8">
        <w:tc>
          <w:tcPr>
            <w:tcW w:w="1975" w:type="dxa"/>
          </w:tcPr>
          <w:p w:rsidR="00023BF8" w:rsidRDefault="004450D1">
            <w:pPr>
              <w:spacing w:after="0"/>
              <w:rPr>
                <w:lang w:eastAsia="ja-JP"/>
              </w:rPr>
            </w:pPr>
            <w:proofErr w:type="spellStart"/>
            <w:r>
              <w:rPr>
                <w:lang w:eastAsia="ja-JP"/>
              </w:rPr>
              <w:t>MediaTek</w:t>
            </w:r>
            <w:proofErr w:type="spellEnd"/>
          </w:p>
        </w:tc>
        <w:tc>
          <w:tcPr>
            <w:tcW w:w="1170" w:type="dxa"/>
          </w:tcPr>
          <w:p w:rsidR="00023BF8" w:rsidRDefault="004450D1">
            <w:pPr>
              <w:spacing w:after="0"/>
              <w:rPr>
                <w:lang w:eastAsia="ja-JP"/>
              </w:rPr>
            </w:pPr>
            <w:r>
              <w:rPr>
                <w:lang w:eastAsia="ja-JP"/>
              </w:rPr>
              <w:t>Y</w:t>
            </w:r>
          </w:p>
        </w:tc>
        <w:tc>
          <w:tcPr>
            <w:tcW w:w="6205" w:type="dxa"/>
          </w:tcPr>
          <w:p w:rsidR="00023BF8" w:rsidRDefault="00023BF8">
            <w:pPr>
              <w:spacing w:after="0"/>
              <w:rPr>
                <w:lang w:eastAsia="ja-JP"/>
              </w:rPr>
            </w:pPr>
          </w:p>
        </w:tc>
      </w:tr>
      <w:tr w:rsidR="00023BF8">
        <w:tc>
          <w:tcPr>
            <w:tcW w:w="1975" w:type="dxa"/>
          </w:tcPr>
          <w:p w:rsidR="00023BF8" w:rsidRDefault="004450D1">
            <w:pPr>
              <w:spacing w:after="0"/>
              <w:rPr>
                <w:lang w:eastAsia="zh-CN"/>
              </w:rPr>
            </w:pPr>
            <w:r>
              <w:rPr>
                <w:rFonts w:hint="eastAsia"/>
                <w:lang w:eastAsia="zh-CN"/>
              </w:rPr>
              <w:t>v</w:t>
            </w:r>
            <w:r>
              <w:rPr>
                <w:lang w:eastAsia="zh-CN"/>
              </w:rPr>
              <w:t>ivo</w:t>
            </w:r>
          </w:p>
        </w:tc>
        <w:tc>
          <w:tcPr>
            <w:tcW w:w="1170" w:type="dxa"/>
          </w:tcPr>
          <w:p w:rsidR="00023BF8" w:rsidRDefault="004450D1">
            <w:pPr>
              <w:spacing w:after="0"/>
              <w:rPr>
                <w:lang w:eastAsia="zh-CN"/>
              </w:rPr>
            </w:pPr>
            <w:r>
              <w:rPr>
                <w:rFonts w:hint="eastAsia"/>
                <w:lang w:eastAsia="zh-CN"/>
              </w:rPr>
              <w:t>N</w:t>
            </w:r>
          </w:p>
        </w:tc>
        <w:tc>
          <w:tcPr>
            <w:tcW w:w="6205" w:type="dxa"/>
          </w:tcPr>
          <w:p w:rsidR="00023BF8" w:rsidRDefault="004450D1">
            <w:pPr>
              <w:spacing w:after="0"/>
              <w:rPr>
                <w:lang w:eastAsia="zh-CN"/>
              </w:rPr>
            </w:pPr>
            <w:r>
              <w:rPr>
                <w:rFonts w:hint="eastAsia"/>
                <w:lang w:eastAsia="zh-CN"/>
              </w:rPr>
              <w:t>B</w:t>
            </w:r>
            <w:r>
              <w:rPr>
                <w:lang w:eastAsia="zh-CN"/>
              </w:rPr>
              <w:t xml:space="preserve">ased on the </w:t>
            </w:r>
            <w:r>
              <w:rPr>
                <w:lang w:eastAsia="zh-CN"/>
              </w:rPr>
              <w:t>limitation in RRC spec, only a quasi-fixed cell can configure the location-based</w:t>
            </w:r>
            <w:r>
              <w:rPr>
                <w:rFonts w:hint="eastAsia"/>
                <w:lang w:eastAsia="zh-CN"/>
              </w:rPr>
              <w:t>/</w:t>
            </w:r>
            <w:r>
              <w:rPr>
                <w:lang w:eastAsia="zh-CN"/>
              </w:rPr>
              <w:t xml:space="preserve">time-based measurement related parameters, the above change </w:t>
            </w:r>
            <w:proofErr w:type="gramStart"/>
            <w:r>
              <w:rPr>
                <w:lang w:eastAsia="zh-CN"/>
              </w:rPr>
              <w:t>is not needed</w:t>
            </w:r>
            <w:proofErr w:type="gramEnd"/>
            <w:r>
              <w:rPr>
                <w:lang w:eastAsia="zh-CN"/>
              </w:rPr>
              <w:t>.</w:t>
            </w:r>
          </w:p>
        </w:tc>
      </w:tr>
      <w:tr w:rsidR="00023BF8">
        <w:tc>
          <w:tcPr>
            <w:tcW w:w="1975" w:type="dxa"/>
          </w:tcPr>
          <w:p w:rsidR="00023BF8" w:rsidRDefault="004450D1">
            <w:pPr>
              <w:spacing w:after="0"/>
              <w:rPr>
                <w:lang w:eastAsia="ja-JP"/>
              </w:rPr>
            </w:pPr>
            <w:r>
              <w:rPr>
                <w:lang w:eastAsia="ja-JP"/>
              </w:rPr>
              <w:t>Intel</w:t>
            </w:r>
          </w:p>
        </w:tc>
        <w:tc>
          <w:tcPr>
            <w:tcW w:w="1170" w:type="dxa"/>
          </w:tcPr>
          <w:p w:rsidR="00023BF8" w:rsidRDefault="004450D1">
            <w:pPr>
              <w:spacing w:after="0"/>
              <w:rPr>
                <w:lang w:eastAsia="ja-JP"/>
              </w:rPr>
            </w:pPr>
            <w:r>
              <w:rPr>
                <w:lang w:eastAsia="ja-JP"/>
              </w:rPr>
              <w:t>Y</w:t>
            </w:r>
          </w:p>
        </w:tc>
        <w:tc>
          <w:tcPr>
            <w:tcW w:w="6205" w:type="dxa"/>
          </w:tcPr>
          <w:p w:rsidR="00023BF8" w:rsidRDefault="004450D1">
            <w:pPr>
              <w:spacing w:after="0"/>
              <w:rPr>
                <w:lang w:eastAsia="ja-JP"/>
              </w:rPr>
            </w:pPr>
            <w:r>
              <w:rPr>
                <w:lang w:eastAsia="ja-JP"/>
              </w:rPr>
              <w:t xml:space="preserve">Proponent. Considering in R18, location/time based measurement initiation are agreed for </w:t>
            </w:r>
            <w:r>
              <w:rPr>
                <w:lang w:eastAsia="ja-JP"/>
              </w:rPr>
              <w:t xml:space="preserve">earth moving cell, </w:t>
            </w:r>
            <w:proofErr w:type="gramStart"/>
            <w:r>
              <w:rPr>
                <w:lang w:eastAsia="ja-JP"/>
              </w:rPr>
              <w:t>it’s</w:t>
            </w:r>
            <w:proofErr w:type="gramEnd"/>
            <w:r>
              <w:rPr>
                <w:lang w:eastAsia="ja-JP"/>
              </w:rPr>
              <w:t xml:space="preserve"> necessary to make differentiation between R17 and R18, i.e., between quasi earth moving cell and earth moving cell.</w:t>
            </w:r>
          </w:p>
        </w:tc>
      </w:tr>
      <w:tr w:rsidR="00023BF8">
        <w:tc>
          <w:tcPr>
            <w:tcW w:w="1975" w:type="dxa"/>
          </w:tcPr>
          <w:p w:rsidR="00023BF8" w:rsidRDefault="004450D1">
            <w:pPr>
              <w:spacing w:after="0"/>
              <w:rPr>
                <w:lang w:eastAsia="zh-CN"/>
              </w:rPr>
            </w:pPr>
            <w:r>
              <w:rPr>
                <w:rFonts w:hint="eastAsia"/>
                <w:lang w:eastAsia="zh-CN"/>
              </w:rPr>
              <w:t>O</w:t>
            </w:r>
            <w:r>
              <w:rPr>
                <w:lang w:eastAsia="zh-CN"/>
              </w:rPr>
              <w:t>PPO</w:t>
            </w:r>
          </w:p>
        </w:tc>
        <w:tc>
          <w:tcPr>
            <w:tcW w:w="1170" w:type="dxa"/>
          </w:tcPr>
          <w:p w:rsidR="00023BF8" w:rsidRDefault="004450D1">
            <w:pPr>
              <w:spacing w:after="0"/>
              <w:rPr>
                <w:lang w:eastAsia="zh-CN"/>
              </w:rPr>
            </w:pPr>
            <w:r>
              <w:rPr>
                <w:rFonts w:hint="eastAsia"/>
                <w:lang w:eastAsia="zh-CN"/>
              </w:rPr>
              <w:t>Y</w:t>
            </w:r>
          </w:p>
        </w:tc>
        <w:tc>
          <w:tcPr>
            <w:tcW w:w="6205" w:type="dxa"/>
          </w:tcPr>
          <w:p w:rsidR="00023BF8" w:rsidRDefault="00023BF8">
            <w:pPr>
              <w:spacing w:after="0"/>
              <w:rPr>
                <w:lang w:val="en-GB" w:eastAsia="ja-JP"/>
              </w:rPr>
            </w:pPr>
          </w:p>
        </w:tc>
      </w:tr>
      <w:tr w:rsidR="00023BF8">
        <w:tc>
          <w:tcPr>
            <w:tcW w:w="1975" w:type="dxa"/>
          </w:tcPr>
          <w:p w:rsidR="00023BF8" w:rsidRDefault="004450D1">
            <w:pPr>
              <w:spacing w:after="0"/>
              <w:rPr>
                <w:lang w:eastAsia="zh-CN"/>
              </w:rPr>
            </w:pPr>
            <w:r>
              <w:rPr>
                <w:rFonts w:hint="eastAsia"/>
                <w:lang w:eastAsia="zh-CN"/>
              </w:rPr>
              <w:t>X</w:t>
            </w:r>
            <w:r>
              <w:rPr>
                <w:lang w:eastAsia="zh-CN"/>
              </w:rPr>
              <w:t>iaomi</w:t>
            </w:r>
          </w:p>
        </w:tc>
        <w:tc>
          <w:tcPr>
            <w:tcW w:w="1170" w:type="dxa"/>
          </w:tcPr>
          <w:p w:rsidR="00023BF8" w:rsidRDefault="004450D1">
            <w:pPr>
              <w:spacing w:after="0"/>
              <w:rPr>
                <w:lang w:eastAsia="zh-CN"/>
              </w:rPr>
            </w:pPr>
            <w:r>
              <w:rPr>
                <w:rFonts w:hint="eastAsia"/>
                <w:lang w:eastAsia="zh-CN"/>
              </w:rPr>
              <w:t>Y</w:t>
            </w:r>
          </w:p>
        </w:tc>
        <w:tc>
          <w:tcPr>
            <w:tcW w:w="6205" w:type="dxa"/>
          </w:tcPr>
          <w:p w:rsidR="00023BF8" w:rsidRDefault="004450D1">
            <w:pPr>
              <w:spacing w:after="0"/>
              <w:rPr>
                <w:lang w:val="en-GB" w:eastAsia="zh-CN"/>
              </w:rPr>
            </w:pPr>
            <w:r>
              <w:rPr>
                <w:lang w:val="en-GB" w:eastAsia="zh-CN"/>
              </w:rPr>
              <w:t xml:space="preserve">R18 will introduce time and location based </w:t>
            </w:r>
            <w:proofErr w:type="spellStart"/>
            <w:r>
              <w:rPr>
                <w:lang w:val="en-GB" w:eastAsia="zh-CN"/>
              </w:rPr>
              <w:t>neighbhour</w:t>
            </w:r>
            <w:proofErr w:type="spellEnd"/>
            <w:r>
              <w:rPr>
                <w:lang w:val="en-GB" w:eastAsia="zh-CN"/>
              </w:rPr>
              <w:t xml:space="preserve"> cell measurement for earth moving cell, we </w:t>
            </w:r>
            <w:r>
              <w:rPr>
                <w:lang w:val="en-GB" w:eastAsia="zh-CN"/>
              </w:rPr>
              <w:t>are fine with the change.</w:t>
            </w:r>
          </w:p>
        </w:tc>
      </w:tr>
      <w:tr w:rsidR="00023BF8">
        <w:tc>
          <w:tcPr>
            <w:tcW w:w="1975" w:type="dxa"/>
          </w:tcPr>
          <w:p w:rsidR="00023BF8" w:rsidRDefault="004450D1">
            <w:pPr>
              <w:spacing w:after="0"/>
              <w:rPr>
                <w:lang w:eastAsia="zh-CN"/>
              </w:rPr>
            </w:pPr>
            <w:r>
              <w:rPr>
                <w:rFonts w:hint="eastAsia"/>
                <w:lang w:eastAsia="zh-CN"/>
              </w:rPr>
              <w:t>ZTE</w:t>
            </w:r>
          </w:p>
        </w:tc>
        <w:tc>
          <w:tcPr>
            <w:tcW w:w="1170" w:type="dxa"/>
          </w:tcPr>
          <w:p w:rsidR="00023BF8" w:rsidRDefault="004450D1">
            <w:pPr>
              <w:spacing w:after="0"/>
              <w:rPr>
                <w:lang w:eastAsia="zh-CN"/>
              </w:rPr>
            </w:pPr>
            <w:r>
              <w:rPr>
                <w:rFonts w:hint="eastAsia"/>
                <w:lang w:eastAsia="zh-CN"/>
              </w:rPr>
              <w:t>Can go with majority</w:t>
            </w:r>
          </w:p>
        </w:tc>
        <w:tc>
          <w:tcPr>
            <w:tcW w:w="6205" w:type="dxa"/>
          </w:tcPr>
          <w:p w:rsidR="00023BF8" w:rsidRDefault="004450D1">
            <w:pPr>
              <w:spacing w:after="0"/>
              <w:rPr>
                <w:lang w:eastAsia="zh-CN"/>
              </w:rPr>
            </w:pPr>
            <w:r>
              <w:rPr>
                <w:rFonts w:hint="eastAsia"/>
                <w:lang w:eastAsia="zh-CN"/>
              </w:rPr>
              <w:t xml:space="preserve">With the reference to </w:t>
            </w:r>
            <w:proofErr w:type="gramStart"/>
            <w:r>
              <w:rPr>
                <w:rFonts w:hint="eastAsia"/>
                <w:lang w:eastAsia="zh-CN"/>
              </w:rPr>
              <w:t>38304</w:t>
            </w:r>
            <w:proofErr w:type="gramEnd"/>
            <w:r>
              <w:rPr>
                <w:rFonts w:hint="eastAsia"/>
                <w:lang w:eastAsia="zh-CN"/>
              </w:rPr>
              <w:t xml:space="preserve"> it seems sufficient that this feature only applies to idle/inactive, and it is clear in RRC it is for earth fixed. We are not sure if the same capability will be used for </w:t>
            </w:r>
            <w:proofErr w:type="gramStart"/>
            <w:r>
              <w:rPr>
                <w:rFonts w:hint="eastAsia"/>
                <w:lang w:eastAsia="zh-CN"/>
              </w:rPr>
              <w:t>earth</w:t>
            </w:r>
            <w:r>
              <w:rPr>
                <w:rFonts w:hint="eastAsia"/>
                <w:lang w:eastAsia="zh-CN"/>
              </w:rPr>
              <w:t>-moving</w:t>
            </w:r>
            <w:proofErr w:type="gramEnd"/>
            <w:r>
              <w:rPr>
                <w:rFonts w:hint="eastAsia"/>
                <w:lang w:eastAsia="zh-CN"/>
              </w:rPr>
              <w:t xml:space="preserve"> or not, if so we may need to revise the description back. </w:t>
            </w:r>
            <w:proofErr w:type="gramStart"/>
            <w:r>
              <w:rPr>
                <w:rFonts w:hint="eastAsia"/>
                <w:lang w:eastAsia="zh-CN"/>
              </w:rPr>
              <w:t>But</w:t>
            </w:r>
            <w:proofErr w:type="gramEnd"/>
            <w:r>
              <w:rPr>
                <w:rFonts w:hint="eastAsia"/>
                <w:lang w:eastAsia="zh-CN"/>
              </w:rPr>
              <w:t xml:space="preserve"> we are fine if majority prefers to make it more clear. </w:t>
            </w:r>
          </w:p>
        </w:tc>
      </w:tr>
      <w:tr w:rsidR="00023BF8">
        <w:tc>
          <w:tcPr>
            <w:tcW w:w="1975" w:type="dxa"/>
          </w:tcPr>
          <w:p w:rsidR="00023BF8" w:rsidRDefault="00BB201C">
            <w:pPr>
              <w:spacing w:after="0"/>
              <w:rPr>
                <w:lang w:eastAsia="ja-JP"/>
              </w:rPr>
            </w:pPr>
            <w:r>
              <w:rPr>
                <w:lang w:eastAsia="ja-JP"/>
              </w:rPr>
              <w:t>Thales</w:t>
            </w:r>
          </w:p>
        </w:tc>
        <w:tc>
          <w:tcPr>
            <w:tcW w:w="1170" w:type="dxa"/>
          </w:tcPr>
          <w:p w:rsidR="00023BF8" w:rsidRDefault="00BB201C">
            <w:pPr>
              <w:spacing w:after="0"/>
              <w:rPr>
                <w:lang w:eastAsia="ja-JP"/>
              </w:rPr>
            </w:pPr>
            <w:r>
              <w:rPr>
                <w:lang w:eastAsia="ja-JP"/>
              </w:rPr>
              <w:t>Y</w:t>
            </w:r>
          </w:p>
        </w:tc>
        <w:tc>
          <w:tcPr>
            <w:tcW w:w="6205" w:type="dxa"/>
          </w:tcPr>
          <w:p w:rsidR="00023BF8" w:rsidRDefault="00BB201C">
            <w:pPr>
              <w:spacing w:after="0"/>
              <w:rPr>
                <w:lang w:val="en-GB" w:eastAsia="ja-JP"/>
              </w:rPr>
            </w:pPr>
            <w:r>
              <w:rPr>
                <w:lang w:val="en-GB" w:eastAsia="ja-JP"/>
              </w:rPr>
              <w:t>Clarification for Rel17 before EMC in Rel18.</w:t>
            </w: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bl>
    <w:p w:rsidR="00023BF8" w:rsidRDefault="00023BF8"/>
    <w:p w:rsidR="00023BF8" w:rsidRDefault="00023BF8"/>
    <w:p w:rsidR="00023BF8" w:rsidRDefault="004450D1">
      <w:pPr>
        <w:pStyle w:val="Heading2"/>
      </w:pPr>
      <w:r>
        <w:t>Clarification on TN EUTRA capability reporting [3]</w:t>
      </w:r>
    </w:p>
    <w:p w:rsidR="00023BF8" w:rsidRDefault="004450D1">
      <w:pPr>
        <w:jc w:val="both"/>
      </w:pPr>
      <w:r>
        <w:t xml:space="preserve">In [3], the following change </w:t>
      </w:r>
      <w:proofErr w:type="gramStart"/>
      <w:r>
        <w:t>is proposed</w:t>
      </w:r>
      <w:proofErr w:type="gramEnd"/>
      <w:r>
        <w:t xml:space="preserve"> for TS </w:t>
      </w:r>
      <w:r>
        <w:t>38.331 as below:</w:t>
      </w:r>
    </w:p>
    <w:tbl>
      <w:tblPr>
        <w:tblStyle w:val="TableGrid"/>
        <w:tblW w:w="0" w:type="auto"/>
        <w:tblLook w:val="04A0" w:firstRow="1" w:lastRow="0" w:firstColumn="1" w:lastColumn="0" w:noHBand="0" w:noVBand="1"/>
      </w:tblPr>
      <w:tblGrid>
        <w:gridCol w:w="1012"/>
        <w:gridCol w:w="8338"/>
      </w:tblGrid>
      <w:tr w:rsidR="00023BF8">
        <w:tc>
          <w:tcPr>
            <w:tcW w:w="1795" w:type="dxa"/>
          </w:tcPr>
          <w:p w:rsidR="00023BF8" w:rsidRDefault="004450D1">
            <w:pPr>
              <w:jc w:val="both"/>
              <w:rPr>
                <w:lang w:eastAsia="ja-JP"/>
              </w:rPr>
            </w:pPr>
            <w:r>
              <w:rPr>
                <w:b/>
                <w:i/>
                <w:lang w:eastAsia="ja-JP"/>
              </w:rPr>
              <w:t>Reason for change</w:t>
            </w:r>
          </w:p>
        </w:tc>
        <w:tc>
          <w:tcPr>
            <w:tcW w:w="7555" w:type="dxa"/>
          </w:tcPr>
          <w:p w:rsidR="00023BF8" w:rsidRDefault="004450D1">
            <w:pPr>
              <w:overflowPunct/>
              <w:autoSpaceDE/>
              <w:autoSpaceDN/>
              <w:adjustRightInd/>
              <w:spacing w:afterLines="50" w:after="120"/>
              <w:jc w:val="both"/>
              <w:rPr>
                <w:rFonts w:ascii="Arial" w:eastAsia="Yu Mincho" w:hAnsi="Arial"/>
                <w:lang w:val="en-GB" w:eastAsia="ja-JP"/>
              </w:rPr>
            </w:pPr>
            <w:proofErr w:type="gramStart"/>
            <w:r>
              <w:rPr>
                <w:rFonts w:ascii="Arial" w:eastAsia="Yu Mincho" w:hAnsi="Arial"/>
                <w:lang w:val="en-GB" w:eastAsia="ja-JP"/>
              </w:rPr>
              <w:t>For  EUTRA</w:t>
            </w:r>
            <w:proofErr w:type="gramEnd"/>
            <w:r>
              <w:rPr>
                <w:rFonts w:ascii="Arial" w:eastAsia="Yu Mincho" w:hAnsi="Arial"/>
                <w:lang w:val="en-GB" w:eastAsia="ja-JP"/>
              </w:rPr>
              <w:t>, following is specified in TS 36.331.</w:t>
            </w:r>
          </w:p>
          <w:p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 xml:space="preserve">If UE is connected to NR 5GS NTN </w:t>
            </w:r>
            <w:r>
              <w:rPr>
                <w:rFonts w:ascii="Arial" w:eastAsia="Yu Mincho" w:hAnsi="Arial"/>
                <w:lang w:val="en-GB" w:eastAsia="ja-JP"/>
              </w:rPr>
              <w:t>and network requests UE to send EUTRA capability, the reported UE capability for EUTRA should belong to NTN (i.e. NTN CE mode capabilities) if NTN specific parameters are included (i.e. the UE actually supports NTN operation in CE mode)</w:t>
            </w:r>
          </w:p>
          <w:p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 xml:space="preserve">If the UE </w:t>
            </w:r>
            <w:proofErr w:type="gramStart"/>
            <w:r>
              <w:rPr>
                <w:rFonts w:ascii="Arial" w:eastAsia="Yu Mincho" w:hAnsi="Arial"/>
                <w:lang w:val="en-GB" w:eastAsia="ja-JP"/>
              </w:rPr>
              <w:t>is connec</w:t>
            </w:r>
            <w:r>
              <w:rPr>
                <w:rFonts w:ascii="Arial" w:eastAsia="Yu Mincho" w:hAnsi="Arial"/>
                <w:lang w:val="en-GB" w:eastAsia="ja-JP"/>
              </w:rPr>
              <w:t>ted</w:t>
            </w:r>
            <w:proofErr w:type="gramEnd"/>
            <w:r>
              <w:rPr>
                <w:rFonts w:ascii="Arial" w:eastAsia="Yu Mincho" w:hAnsi="Arial"/>
                <w:lang w:val="en-GB" w:eastAsia="ja-JP"/>
              </w:rPr>
              <w:t xml:space="preserve"> to NR 5GS TN, the reported UE capability for EUTRA belongs to TN.</w:t>
            </w:r>
          </w:p>
          <w:p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 xml:space="preserve">This is not clear in the TS 38.331 specification as UE may also support NR NTN and </w:t>
            </w:r>
            <w:proofErr w:type="spellStart"/>
            <w:r>
              <w:rPr>
                <w:rFonts w:ascii="Arial" w:eastAsia="Yu Mincho" w:hAnsi="Arial"/>
                <w:lang w:val="en-GB" w:eastAsia="ja-JP"/>
              </w:rPr>
              <w:t>IoT</w:t>
            </w:r>
            <w:proofErr w:type="spellEnd"/>
            <w:r>
              <w:rPr>
                <w:rFonts w:ascii="Arial" w:eastAsia="Yu Mincho" w:hAnsi="Arial"/>
                <w:lang w:val="en-GB" w:eastAsia="ja-JP"/>
              </w:rPr>
              <w:t xml:space="preserve"> NTN in CE mode.</w:t>
            </w:r>
          </w:p>
        </w:tc>
      </w:tr>
      <w:tr w:rsidR="00023BF8">
        <w:tc>
          <w:tcPr>
            <w:tcW w:w="1795" w:type="dxa"/>
          </w:tcPr>
          <w:p w:rsidR="00023BF8" w:rsidRDefault="004450D1">
            <w:pPr>
              <w:jc w:val="both"/>
              <w:rPr>
                <w:lang w:eastAsia="ja-JP"/>
              </w:rPr>
            </w:pPr>
            <w:r>
              <w:rPr>
                <w:b/>
                <w:i/>
                <w:lang w:eastAsia="ja-JP"/>
              </w:rPr>
              <w:t>Summary of change</w:t>
            </w:r>
          </w:p>
        </w:tc>
        <w:tc>
          <w:tcPr>
            <w:tcW w:w="7555" w:type="dxa"/>
          </w:tcPr>
          <w:p w:rsidR="00023BF8" w:rsidRDefault="004450D1">
            <w:pPr>
              <w:pStyle w:val="CRCoverPage"/>
              <w:spacing w:after="0"/>
              <w:ind w:left="100"/>
              <w:jc w:val="both"/>
              <w:rPr>
                <w:lang w:val="en-US" w:eastAsia="zh-CN"/>
              </w:rPr>
            </w:pPr>
            <w:r>
              <w:rPr>
                <w:lang w:eastAsia="zh-CN"/>
              </w:rPr>
              <w:t xml:space="preserve">Correction </w:t>
            </w:r>
            <w:proofErr w:type="gramStart"/>
            <w:r>
              <w:rPr>
                <w:lang w:eastAsia="zh-CN"/>
              </w:rPr>
              <w:t>is added</w:t>
            </w:r>
            <w:proofErr w:type="gramEnd"/>
            <w:r>
              <w:rPr>
                <w:lang w:eastAsia="zh-CN"/>
              </w:rPr>
              <w:t xml:space="preserve"> such that when UE is connected to NR NTN and</w:t>
            </w:r>
            <w:r>
              <w:rPr>
                <w:lang w:eastAsia="zh-CN"/>
              </w:rPr>
              <w:t xml:space="preserve">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23BF8">
        <w:tc>
          <w:tcPr>
            <w:tcW w:w="1795" w:type="dxa"/>
          </w:tcPr>
          <w:p w:rsidR="00023BF8" w:rsidRDefault="004450D1">
            <w:pPr>
              <w:jc w:val="both"/>
              <w:rPr>
                <w:lang w:eastAsia="ja-JP"/>
              </w:rPr>
            </w:pPr>
            <w:r>
              <w:rPr>
                <w:b/>
                <w:i/>
                <w:lang w:eastAsia="ja-JP"/>
              </w:rPr>
              <w:t>Proposed change</w:t>
            </w:r>
          </w:p>
        </w:tc>
        <w:tc>
          <w:tcPr>
            <w:tcW w:w="7555" w:type="dxa"/>
          </w:tcPr>
          <w:p w:rsidR="00023BF8" w:rsidRDefault="004450D1">
            <w:pPr>
              <w:jc w:val="both"/>
              <w:rPr>
                <w:lang w:eastAsia="ja-JP"/>
              </w:rPr>
            </w:pPr>
            <w:r>
              <w:rPr>
                <w:noProof/>
                <w:lang w:val="fr-FR" w:eastAsia="zh-CN"/>
              </w:rPr>
              <w:drawing>
                <wp:inline distT="0" distB="0" distL="0" distR="0">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rsidR="00023BF8" w:rsidRDefault="00023BF8">
      <w:pPr>
        <w:pStyle w:val="ListParagraph"/>
        <w:ind w:left="360"/>
        <w:jc w:val="both"/>
      </w:pPr>
    </w:p>
    <w:p w:rsidR="00023BF8" w:rsidRDefault="004450D1">
      <w:pPr>
        <w:pStyle w:val="ListParagraph"/>
        <w:numPr>
          <w:ilvl w:val="0"/>
          <w:numId w:val="6"/>
        </w:numPr>
        <w:ind w:left="360"/>
        <w:jc w:val="both"/>
      </w:pPr>
      <w:r>
        <w:t xml:space="preserve">Whether the proposed change in [3] </w:t>
      </w:r>
      <w:proofErr w:type="gramStart"/>
      <w:r>
        <w:t>can be agreed</w:t>
      </w:r>
      <w:proofErr w:type="gramEnd"/>
      <w:r>
        <w:t>?</w:t>
      </w:r>
    </w:p>
    <w:tbl>
      <w:tblPr>
        <w:tblStyle w:val="TableGrid"/>
        <w:tblW w:w="0" w:type="auto"/>
        <w:tblLook w:val="04A0" w:firstRow="1" w:lastRow="0" w:firstColumn="1" w:lastColumn="0" w:noHBand="0" w:noVBand="1"/>
      </w:tblPr>
      <w:tblGrid>
        <w:gridCol w:w="1975"/>
        <w:gridCol w:w="1170"/>
        <w:gridCol w:w="6205"/>
      </w:tblGrid>
      <w:tr w:rsidR="00023BF8">
        <w:tc>
          <w:tcPr>
            <w:tcW w:w="1975" w:type="dxa"/>
            <w:shd w:val="clear" w:color="auto" w:fill="BFBFBF" w:themeFill="background1" w:themeFillShade="BF"/>
          </w:tcPr>
          <w:p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rsidR="00023BF8" w:rsidRDefault="004450D1">
            <w:pPr>
              <w:spacing w:after="0"/>
              <w:jc w:val="center"/>
              <w:rPr>
                <w:b/>
                <w:bCs/>
                <w:lang w:eastAsia="ja-JP"/>
              </w:rPr>
            </w:pPr>
            <w:r>
              <w:rPr>
                <w:b/>
                <w:bCs/>
                <w:lang w:eastAsia="ja-JP"/>
              </w:rPr>
              <w:t>Comments, if any</w:t>
            </w:r>
          </w:p>
        </w:tc>
      </w:tr>
      <w:tr w:rsidR="00023BF8">
        <w:tc>
          <w:tcPr>
            <w:tcW w:w="1975" w:type="dxa"/>
          </w:tcPr>
          <w:p w:rsidR="00023BF8" w:rsidRDefault="004450D1">
            <w:pPr>
              <w:spacing w:after="0"/>
              <w:rPr>
                <w:lang w:eastAsia="ja-JP"/>
              </w:rPr>
            </w:pPr>
            <w:proofErr w:type="spellStart"/>
            <w:r>
              <w:rPr>
                <w:lang w:eastAsia="ja-JP"/>
              </w:rPr>
              <w:t>MediaTek</w:t>
            </w:r>
            <w:proofErr w:type="spellEnd"/>
          </w:p>
        </w:tc>
        <w:tc>
          <w:tcPr>
            <w:tcW w:w="1170" w:type="dxa"/>
          </w:tcPr>
          <w:p w:rsidR="00023BF8" w:rsidRDefault="004450D1">
            <w:pPr>
              <w:spacing w:after="0"/>
              <w:rPr>
                <w:lang w:eastAsia="ja-JP"/>
              </w:rPr>
            </w:pPr>
            <w:r>
              <w:rPr>
                <w:lang w:eastAsia="ja-JP"/>
              </w:rPr>
              <w:t>Y, but</w:t>
            </w:r>
          </w:p>
        </w:tc>
        <w:tc>
          <w:tcPr>
            <w:tcW w:w="6205" w:type="dxa"/>
          </w:tcPr>
          <w:p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tc>
          <w:tcPr>
            <w:tcW w:w="1975" w:type="dxa"/>
          </w:tcPr>
          <w:p w:rsidR="00023BF8" w:rsidRDefault="004450D1">
            <w:pPr>
              <w:spacing w:after="0"/>
              <w:rPr>
                <w:lang w:eastAsia="ja-JP"/>
              </w:rPr>
            </w:pPr>
            <w:r>
              <w:rPr>
                <w:lang w:eastAsia="ja-JP"/>
              </w:rPr>
              <w:t>Vodafone</w:t>
            </w:r>
          </w:p>
        </w:tc>
        <w:tc>
          <w:tcPr>
            <w:tcW w:w="1170" w:type="dxa"/>
          </w:tcPr>
          <w:p w:rsidR="00023BF8" w:rsidRDefault="004450D1">
            <w:pPr>
              <w:spacing w:after="0"/>
              <w:rPr>
                <w:lang w:eastAsia="ja-JP"/>
              </w:rPr>
            </w:pPr>
            <w:r>
              <w:rPr>
                <w:lang w:eastAsia="ja-JP"/>
              </w:rPr>
              <w:t>N</w:t>
            </w:r>
          </w:p>
        </w:tc>
        <w:tc>
          <w:tcPr>
            <w:tcW w:w="6205" w:type="dxa"/>
          </w:tcPr>
          <w:p w:rsidR="00023BF8" w:rsidRDefault="004450D1">
            <w:pPr>
              <w:spacing w:after="0"/>
              <w:rPr>
                <w:lang w:eastAsia="ja-JP"/>
              </w:rPr>
            </w:pPr>
            <w:r>
              <w:rPr>
                <w:b/>
                <w:bCs/>
                <w:u w:val="single"/>
                <w:lang w:eastAsia="ja-JP"/>
              </w:rPr>
              <w:t xml:space="preserve">The UE capabilities are stored in the AMF and </w:t>
            </w:r>
            <w:proofErr w:type="gramStart"/>
            <w:r>
              <w:rPr>
                <w:b/>
                <w:bCs/>
                <w:u w:val="single"/>
                <w:lang w:eastAsia="ja-JP"/>
              </w:rPr>
              <w:t>are NOT pulled</w:t>
            </w:r>
            <w:proofErr w:type="gramEnd"/>
            <w:r>
              <w:rPr>
                <w:b/>
                <w:bCs/>
                <w:u w:val="single"/>
                <w:lang w:eastAsia="ja-JP"/>
              </w:rPr>
              <w:t xml:space="preserve"> from the UE</w:t>
            </w:r>
            <w:r>
              <w:rPr>
                <w:b/>
                <w:bCs/>
                <w:u w:val="single"/>
                <w:lang w:eastAsia="ja-JP"/>
              </w:rPr>
              <w:t xml:space="preserve"> at every RRC connection</w:t>
            </w:r>
            <w:r>
              <w:rPr>
                <w:lang w:eastAsia="ja-JP"/>
              </w:rPr>
              <w:t>.</w:t>
            </w:r>
          </w:p>
          <w:p w:rsidR="00023BF8" w:rsidRDefault="00023BF8">
            <w:pPr>
              <w:spacing w:after="0"/>
              <w:rPr>
                <w:lang w:eastAsia="ja-JP"/>
              </w:rPr>
            </w:pPr>
          </w:p>
          <w:p w:rsidR="00023BF8" w:rsidRDefault="004450D1">
            <w:pPr>
              <w:spacing w:after="0"/>
              <w:rPr>
                <w:lang w:eastAsia="ja-JP"/>
              </w:rPr>
            </w:pPr>
            <w:r>
              <w:rPr>
                <w:lang w:eastAsia="ja-JP"/>
              </w:rPr>
              <w:t xml:space="preserve">The proposal does not work (it destroys basic release 15 operation and is NOT BACKWARDS COMPATIBLE with R15-17 </w:t>
            </w:r>
            <w:proofErr w:type="spellStart"/>
            <w:r>
              <w:rPr>
                <w:lang w:eastAsia="ja-JP"/>
              </w:rPr>
              <w:t>gNB</w:t>
            </w:r>
            <w:proofErr w:type="spellEnd"/>
            <w:r>
              <w:rPr>
                <w:lang w:eastAsia="ja-JP"/>
              </w:rPr>
              <w:t>).</w:t>
            </w:r>
          </w:p>
          <w:p w:rsidR="00023BF8" w:rsidRDefault="00023BF8">
            <w:pPr>
              <w:spacing w:after="0"/>
              <w:rPr>
                <w:lang w:eastAsia="ja-JP"/>
              </w:rPr>
            </w:pPr>
          </w:p>
          <w:p w:rsidR="00023BF8" w:rsidRDefault="004450D1">
            <w:pPr>
              <w:spacing w:after="0"/>
              <w:rPr>
                <w:lang w:eastAsia="ja-JP"/>
              </w:rPr>
            </w:pPr>
            <w:r>
              <w:rPr>
                <w:lang w:eastAsia="ja-JP"/>
              </w:rPr>
              <w:t xml:space="preserve">The proposed change means that EVERY NR cell has no idea as to whether or not the E-UTRA capability relates to </w:t>
            </w:r>
            <w:r>
              <w:rPr>
                <w:lang w:eastAsia="ja-JP"/>
              </w:rPr>
              <w:t xml:space="preserve">its TN or NTN capability. It is important that the operation of terrestrial networks </w:t>
            </w:r>
            <w:proofErr w:type="gramStart"/>
            <w:r>
              <w:rPr>
                <w:lang w:eastAsia="ja-JP"/>
              </w:rPr>
              <w:t>is</w:t>
            </w:r>
            <w:proofErr w:type="gramEnd"/>
            <w:r>
              <w:rPr>
                <w:lang w:eastAsia="ja-JP"/>
              </w:rPr>
              <w:t xml:space="preserve"> not disrupted by the occasional use of an NTN.</w:t>
            </w:r>
          </w:p>
          <w:p w:rsidR="00023BF8" w:rsidRDefault="00023BF8">
            <w:pPr>
              <w:spacing w:after="0"/>
              <w:rPr>
                <w:lang w:eastAsia="ja-JP"/>
              </w:rPr>
            </w:pPr>
          </w:p>
          <w:p w:rsidR="00023BF8" w:rsidRDefault="004450D1">
            <w:pPr>
              <w:spacing w:after="0"/>
              <w:rPr>
                <w:lang w:eastAsia="ja-JP"/>
              </w:rPr>
            </w:pPr>
            <w:r>
              <w:rPr>
                <w:lang w:eastAsia="ja-JP"/>
              </w:rPr>
              <w:t>In my estimation, the most likely inter-RAT mobility scenarios are:</w:t>
            </w:r>
          </w:p>
          <w:p w:rsidR="00023BF8" w:rsidRDefault="00023BF8">
            <w:pPr>
              <w:spacing w:after="0"/>
              <w:rPr>
                <w:lang w:eastAsia="ja-JP"/>
              </w:rPr>
            </w:pPr>
          </w:p>
          <w:p w:rsidR="00023BF8" w:rsidRDefault="004450D1">
            <w:pPr>
              <w:spacing w:after="0"/>
              <w:rPr>
                <w:lang w:eastAsia="ja-JP"/>
              </w:rPr>
            </w:pPr>
            <w:r>
              <w:rPr>
                <w:lang w:eastAsia="ja-JP"/>
              </w:rPr>
              <w:t>TN-NR to/from TN-LTE; (vast majority)</w:t>
            </w:r>
          </w:p>
          <w:p w:rsidR="00023BF8" w:rsidRDefault="004450D1">
            <w:pPr>
              <w:spacing w:after="0"/>
              <w:rPr>
                <w:lang w:eastAsia="ja-JP"/>
              </w:rPr>
            </w:pPr>
            <w:r>
              <w:rPr>
                <w:lang w:eastAsia="ja-JP"/>
              </w:rPr>
              <w:t>TN-NR to NTN-</w:t>
            </w:r>
            <w:r>
              <w:rPr>
                <w:lang w:eastAsia="ja-JP"/>
              </w:rPr>
              <w:t>LTE ;</w:t>
            </w:r>
          </w:p>
          <w:p w:rsidR="00023BF8" w:rsidRDefault="004450D1">
            <w:pPr>
              <w:spacing w:after="0"/>
              <w:rPr>
                <w:lang w:eastAsia="ja-JP"/>
              </w:rPr>
            </w:pPr>
            <w:r>
              <w:rPr>
                <w:lang w:eastAsia="ja-JP"/>
              </w:rPr>
              <w:t>NTN-LTE to TN-NR</w:t>
            </w:r>
          </w:p>
          <w:p w:rsidR="00023BF8" w:rsidRDefault="00023BF8">
            <w:pPr>
              <w:spacing w:after="0"/>
              <w:rPr>
                <w:lang w:eastAsia="ja-JP"/>
              </w:rPr>
            </w:pPr>
          </w:p>
          <w:p w:rsidR="00023BF8" w:rsidRDefault="004450D1">
            <w:pPr>
              <w:spacing w:after="0"/>
              <w:rPr>
                <w:lang w:eastAsia="ja-JP"/>
              </w:rPr>
            </w:pPr>
            <w:r>
              <w:rPr>
                <w:lang w:eastAsia="ja-JP"/>
              </w:rPr>
              <w:t xml:space="preserve">And it is VERY unlikely to have </w:t>
            </w:r>
          </w:p>
          <w:p w:rsidR="00023BF8" w:rsidRDefault="004450D1">
            <w:pPr>
              <w:spacing w:after="0"/>
              <w:rPr>
                <w:lang w:eastAsia="ja-JP"/>
              </w:rPr>
            </w:pPr>
            <w:r>
              <w:rPr>
                <w:lang w:eastAsia="ja-JP"/>
              </w:rPr>
              <w:t>NTN cat M to or from NR NTN mobility</w:t>
            </w:r>
          </w:p>
          <w:p w:rsidR="00023BF8" w:rsidRDefault="00023BF8">
            <w:pPr>
              <w:spacing w:after="0"/>
              <w:rPr>
                <w:lang w:eastAsia="ja-JP"/>
              </w:rPr>
            </w:pPr>
          </w:p>
          <w:p w:rsidR="00023BF8" w:rsidRDefault="004450D1">
            <w:pPr>
              <w:spacing w:after="0"/>
              <w:rPr>
                <w:lang w:eastAsia="ja-JP"/>
              </w:rPr>
            </w:pPr>
            <w:r>
              <w:rPr>
                <w:lang w:eastAsia="ja-JP"/>
              </w:rPr>
              <w:t>Hence we should optimize the system around the likely scenarios (rather than breaking R15), and use the existing approach for TN-LTE &lt;-&gt; NTN LTE mobility to solv</w:t>
            </w:r>
            <w:r>
              <w:rPr>
                <w:lang w:eastAsia="ja-JP"/>
              </w:rPr>
              <w:t>e the case of NTN-LTE &lt;-&gt; NR NTN mobility.</w:t>
            </w:r>
          </w:p>
          <w:p w:rsidR="00023BF8" w:rsidRDefault="00023BF8">
            <w:pPr>
              <w:spacing w:after="0"/>
              <w:rPr>
                <w:lang w:eastAsia="ja-JP"/>
              </w:rPr>
            </w:pPr>
          </w:p>
          <w:p w:rsidR="00023BF8" w:rsidRDefault="004450D1">
            <w:pPr>
              <w:spacing w:after="0"/>
              <w:rPr>
                <w:lang w:eastAsia="ja-JP"/>
              </w:rPr>
            </w:pPr>
            <w:r>
              <w:rPr>
                <w:lang w:eastAsia="ja-JP"/>
              </w:rPr>
              <w:t>I agree that a correction CR is needed in 38.331 but suggest the following:</w:t>
            </w:r>
          </w:p>
          <w:p w:rsidR="00023BF8" w:rsidRDefault="00023BF8">
            <w:pPr>
              <w:spacing w:after="0"/>
              <w:rPr>
                <w:lang w:eastAsia="ja-JP"/>
              </w:rPr>
            </w:pPr>
          </w:p>
          <w:p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ue-CapabilityRAT-RequestList</w:t>
            </w:r>
            <w:proofErr w:type="spellEnd"/>
            <w:r>
              <w:rPr>
                <w:rFonts w:eastAsia="Times New Roman"/>
                <w:lang w:eastAsia="ja-JP"/>
              </w:rPr>
              <w:t xml:space="preserve"> contains a </w:t>
            </w:r>
            <w:r>
              <w:rPr>
                <w:rFonts w:eastAsia="Times New Roman"/>
                <w:i/>
                <w:lang w:eastAsia="ja-JP"/>
              </w:rPr>
              <w:t>UE-</w:t>
            </w:r>
            <w:proofErr w:type="spellStart"/>
            <w:r>
              <w:rPr>
                <w:rFonts w:eastAsia="Times New Roman"/>
                <w:i/>
                <w:lang w:eastAsia="ja-JP"/>
              </w:rPr>
              <w:t>CapabilityRAT</w:t>
            </w:r>
            <w:proofErr w:type="spellEnd"/>
            <w:r>
              <w:rPr>
                <w:rFonts w:eastAsia="Times New Roman"/>
                <w:i/>
                <w:lang w:eastAsia="ja-JP"/>
              </w:rPr>
              <w: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w:t>
            </w:r>
          </w:p>
          <w:p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proofErr w:type="spellStart"/>
            <w:r>
              <w:rPr>
                <w:rFonts w:eastAsia="Times New Roman"/>
                <w:i/>
                <w:lang w:eastAsia="ja-JP"/>
              </w:rPr>
              <w:t>ue-CapabilityRAT-ContainerList</w:t>
            </w:r>
            <w:proofErr w:type="spellEnd"/>
            <w:r>
              <w:rPr>
                <w:rFonts w:eastAsia="Times New Roman"/>
                <w:lang w:eastAsia="ja-JP"/>
              </w:rPr>
              <w:t xml:space="preserve"> a </w:t>
            </w:r>
            <w:proofErr w:type="spellStart"/>
            <w:r>
              <w:rPr>
                <w:rFonts w:eastAsia="Times New Roman"/>
                <w:i/>
                <w:lang w:eastAsia="ja-JP"/>
              </w:rPr>
              <w:t>ue</w:t>
            </w:r>
            <w:proofErr w:type="spellEnd"/>
            <w:r>
              <w:rPr>
                <w:rFonts w:eastAsia="Times New Roman"/>
                <w:i/>
                <w:lang w:eastAsia="ja-JP"/>
              </w:rPr>
              <w:t>-</w:t>
            </w:r>
            <w:proofErr w:type="spellStart"/>
            <w:r>
              <w:rPr>
                <w:rFonts w:eastAsia="Times New Roman"/>
                <w:i/>
                <w:lang w:eastAsia="ja-JP"/>
              </w:rPr>
              <w:t>CapabilityRAT</w:t>
            </w:r>
            <w:proofErr w:type="spellEnd"/>
            <w:r>
              <w:rPr>
                <w:rFonts w:eastAsia="Times New Roman"/>
                <w:i/>
                <w:lang w:eastAsia="ja-JP"/>
              </w:rPr>
              <w: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 xml:space="preserve"> as specified in TS 36.331 [10], clause 5.6.3.3, according to the </w:t>
            </w:r>
            <w:proofErr w:type="spellStart"/>
            <w:r>
              <w:rPr>
                <w:rFonts w:eastAsia="Times New Roman"/>
                <w:i/>
                <w:lang w:eastAsia="ja-JP"/>
              </w:rPr>
              <w:t>capabilityRe</w:t>
            </w:r>
            <w:r>
              <w:rPr>
                <w:rFonts w:eastAsia="Times New Roman"/>
                <w:i/>
                <w:lang w:eastAsia="ja-JP"/>
              </w:rPr>
              <w:t>questFilter</w:t>
            </w:r>
            <w:proofErr w:type="spellEnd"/>
            <w:r>
              <w:rPr>
                <w:rFonts w:eastAsia="Times New Roman"/>
                <w:lang w:eastAsia="ja-JP"/>
              </w:rPr>
              <w:t>, if received;</w:t>
            </w:r>
          </w:p>
          <w:p w:rsidR="00023BF8" w:rsidRDefault="004450D1">
            <w:pPr>
              <w:spacing w:after="0"/>
              <w:rPr>
                <w:lang w:eastAsia="ja-JP"/>
              </w:rPr>
            </w:pPr>
            <w:r>
              <w:rPr>
                <w:lang w:eastAsia="ja-JP"/>
              </w:rPr>
              <w:t>******* end of change ***</w:t>
            </w:r>
          </w:p>
          <w:p w:rsidR="00023BF8" w:rsidRDefault="00023BF8">
            <w:pPr>
              <w:spacing w:after="0"/>
              <w:rPr>
                <w:lang w:eastAsia="ja-JP"/>
              </w:rPr>
            </w:pPr>
          </w:p>
        </w:tc>
      </w:tr>
      <w:tr w:rsidR="00023BF8">
        <w:tc>
          <w:tcPr>
            <w:tcW w:w="1975" w:type="dxa"/>
          </w:tcPr>
          <w:p w:rsidR="00023BF8" w:rsidRDefault="004450D1">
            <w:pPr>
              <w:spacing w:after="0"/>
              <w:rPr>
                <w:lang w:eastAsia="zh-CN"/>
              </w:rPr>
            </w:pPr>
            <w:r>
              <w:rPr>
                <w:rFonts w:hint="eastAsia"/>
                <w:lang w:eastAsia="zh-CN"/>
              </w:rPr>
              <w:t>v</w:t>
            </w:r>
            <w:r>
              <w:rPr>
                <w:lang w:eastAsia="zh-CN"/>
              </w:rPr>
              <w:t>ivo</w:t>
            </w:r>
          </w:p>
        </w:tc>
        <w:tc>
          <w:tcPr>
            <w:tcW w:w="1170" w:type="dxa"/>
          </w:tcPr>
          <w:p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rsidR="00023BF8" w:rsidRDefault="004450D1">
            <w:pPr>
              <w:spacing w:after="0"/>
              <w:rPr>
                <w:lang w:eastAsia="zh-CN"/>
              </w:rPr>
            </w:pPr>
            <w:r>
              <w:rPr>
                <w:rFonts w:hint="eastAsia"/>
                <w:lang w:eastAsia="zh-CN"/>
              </w:rPr>
              <w:t>W</w:t>
            </w:r>
            <w:r>
              <w:rPr>
                <w:lang w:eastAsia="zh-CN"/>
              </w:rPr>
              <w:t xml:space="preserve">e agree the intention of this contribution, but we think it </w:t>
            </w:r>
            <w:proofErr w:type="gramStart"/>
            <w:r>
              <w:rPr>
                <w:lang w:eastAsia="zh-CN"/>
              </w:rPr>
              <w:t>should be discussed</w:t>
            </w:r>
            <w:proofErr w:type="gramEnd"/>
            <w:r>
              <w:rPr>
                <w:lang w:eastAsia="zh-CN"/>
              </w:rPr>
              <w:t xml:space="preserve"> in </w:t>
            </w:r>
            <w:proofErr w:type="spellStart"/>
            <w:r>
              <w:rPr>
                <w:lang w:eastAsia="ja-JP"/>
              </w:rPr>
              <w:t>IoT_NTN_enh</w:t>
            </w:r>
            <w:proofErr w:type="spellEnd"/>
            <w:r>
              <w:rPr>
                <w:lang w:eastAsia="ja-JP"/>
              </w:rPr>
              <w:t>-Core.</w:t>
            </w:r>
          </w:p>
        </w:tc>
      </w:tr>
      <w:tr w:rsidR="00023BF8">
        <w:tc>
          <w:tcPr>
            <w:tcW w:w="1975" w:type="dxa"/>
          </w:tcPr>
          <w:p w:rsidR="00023BF8" w:rsidRDefault="004450D1">
            <w:pPr>
              <w:spacing w:after="0"/>
              <w:rPr>
                <w:lang w:eastAsia="ja-JP"/>
              </w:rPr>
            </w:pPr>
            <w:r>
              <w:rPr>
                <w:lang w:eastAsia="ja-JP"/>
              </w:rPr>
              <w:t>Intel</w:t>
            </w:r>
          </w:p>
        </w:tc>
        <w:tc>
          <w:tcPr>
            <w:tcW w:w="1170" w:type="dxa"/>
          </w:tcPr>
          <w:p w:rsidR="00023BF8" w:rsidRDefault="004450D1">
            <w:pPr>
              <w:spacing w:after="0"/>
              <w:rPr>
                <w:lang w:eastAsia="ja-JP"/>
              </w:rPr>
            </w:pPr>
            <w:r>
              <w:rPr>
                <w:lang w:eastAsia="ja-JP"/>
              </w:rPr>
              <w:t>N</w:t>
            </w:r>
          </w:p>
        </w:tc>
        <w:tc>
          <w:tcPr>
            <w:tcW w:w="6205" w:type="dxa"/>
          </w:tcPr>
          <w:p w:rsidR="00023BF8" w:rsidRDefault="004450D1">
            <w:pPr>
              <w:spacing w:after="0"/>
              <w:rPr>
                <w:lang w:val="en-GB" w:eastAsia="ja-JP"/>
              </w:rPr>
            </w:pPr>
            <w:r>
              <w:rPr>
                <w:lang w:val="en-GB" w:eastAsia="ja-JP"/>
              </w:rPr>
              <w:t xml:space="preserve">We are not sure </w:t>
            </w:r>
            <w:proofErr w:type="gramStart"/>
            <w:r>
              <w:rPr>
                <w:lang w:val="en-GB" w:eastAsia="ja-JP"/>
              </w:rPr>
              <w:t xml:space="preserve">whether there is a UE that supports both NR NTN and </w:t>
            </w:r>
            <w:proofErr w:type="spellStart"/>
            <w:r>
              <w:rPr>
                <w:lang w:val="en-GB" w:eastAsia="ja-JP"/>
              </w:rPr>
              <w:t>IoT</w:t>
            </w:r>
            <w:proofErr w:type="spellEnd"/>
            <w:r>
              <w:rPr>
                <w:lang w:val="en-GB" w:eastAsia="ja-JP"/>
              </w:rPr>
              <w:t xml:space="preserve"> N</w:t>
            </w:r>
            <w:r>
              <w:rPr>
                <w:lang w:val="en-GB" w:eastAsia="ja-JP"/>
              </w:rPr>
              <w:t>TN functions</w:t>
            </w:r>
            <w:proofErr w:type="gramEnd"/>
            <w:r>
              <w:rPr>
                <w:lang w:val="en-GB" w:eastAsia="ja-JP"/>
              </w:rPr>
              <w:t>. In our view, they should be separate UEs.</w:t>
            </w:r>
          </w:p>
        </w:tc>
      </w:tr>
      <w:tr w:rsidR="00023BF8">
        <w:tc>
          <w:tcPr>
            <w:tcW w:w="1975" w:type="dxa"/>
          </w:tcPr>
          <w:p w:rsidR="00023BF8" w:rsidRDefault="004450D1">
            <w:pPr>
              <w:spacing w:after="0"/>
              <w:rPr>
                <w:lang w:eastAsia="zh-CN"/>
              </w:rPr>
            </w:pPr>
            <w:r>
              <w:rPr>
                <w:rFonts w:hint="eastAsia"/>
                <w:lang w:eastAsia="zh-CN"/>
              </w:rPr>
              <w:t>O</w:t>
            </w:r>
            <w:r>
              <w:rPr>
                <w:lang w:eastAsia="zh-CN"/>
              </w:rPr>
              <w:t>PPO</w:t>
            </w:r>
          </w:p>
        </w:tc>
        <w:tc>
          <w:tcPr>
            <w:tcW w:w="1170" w:type="dxa"/>
          </w:tcPr>
          <w:p w:rsidR="00023BF8" w:rsidRDefault="004450D1">
            <w:pPr>
              <w:spacing w:after="0"/>
              <w:rPr>
                <w:lang w:eastAsia="zh-CN"/>
              </w:rPr>
            </w:pPr>
            <w:r>
              <w:rPr>
                <w:rFonts w:hint="eastAsia"/>
                <w:lang w:eastAsia="zh-CN"/>
              </w:rPr>
              <w:t>Y</w:t>
            </w:r>
          </w:p>
        </w:tc>
        <w:tc>
          <w:tcPr>
            <w:tcW w:w="6205" w:type="dxa"/>
          </w:tcPr>
          <w:p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tc>
          <w:tcPr>
            <w:tcW w:w="1975" w:type="dxa"/>
          </w:tcPr>
          <w:p w:rsidR="00023BF8" w:rsidRDefault="004450D1">
            <w:pPr>
              <w:spacing w:after="0"/>
              <w:rPr>
                <w:lang w:eastAsia="zh-CN"/>
              </w:rPr>
            </w:pPr>
            <w:r>
              <w:rPr>
                <w:rFonts w:hint="eastAsia"/>
                <w:lang w:eastAsia="zh-CN"/>
              </w:rPr>
              <w:t>ZTE</w:t>
            </w:r>
          </w:p>
        </w:tc>
        <w:tc>
          <w:tcPr>
            <w:tcW w:w="1170" w:type="dxa"/>
          </w:tcPr>
          <w:p w:rsidR="00023BF8" w:rsidRDefault="004450D1">
            <w:pPr>
              <w:spacing w:after="0"/>
              <w:rPr>
                <w:lang w:eastAsia="zh-CN"/>
              </w:rPr>
            </w:pPr>
            <w:r>
              <w:rPr>
                <w:rFonts w:hint="eastAsia"/>
                <w:lang w:eastAsia="zh-CN"/>
              </w:rPr>
              <w:t>N</w:t>
            </w:r>
          </w:p>
        </w:tc>
        <w:tc>
          <w:tcPr>
            <w:tcW w:w="6205" w:type="dxa"/>
          </w:tcPr>
          <w:p w:rsidR="00023BF8" w:rsidRDefault="004450D1">
            <w:pPr>
              <w:spacing w:after="0"/>
              <w:rPr>
                <w:lang w:eastAsia="zh-CN"/>
              </w:rPr>
            </w:pPr>
            <w:r>
              <w:rPr>
                <w:rFonts w:hint="eastAsia"/>
                <w:lang w:eastAsia="zh-CN"/>
              </w:rPr>
              <w:t xml:space="preserve">Not </w:t>
            </w:r>
            <w:proofErr w:type="gramStart"/>
            <w:r>
              <w:rPr>
                <w:rFonts w:hint="eastAsia"/>
                <w:lang w:eastAsia="zh-CN"/>
              </w:rPr>
              <w:t>sure</w:t>
            </w:r>
            <w:proofErr w:type="gramEnd"/>
            <w:r>
              <w:rPr>
                <w:rFonts w:hint="eastAsia"/>
                <w:lang w:eastAsia="zh-CN"/>
              </w:rPr>
              <w:t xml:space="preserve"> about the use case here, under which circumstance will an </w:t>
            </w:r>
            <w:proofErr w:type="spellStart"/>
            <w:r>
              <w:rPr>
                <w:rFonts w:hint="eastAsia"/>
                <w:lang w:eastAsia="zh-CN"/>
              </w:rPr>
              <w:t>IoT</w:t>
            </w:r>
            <w:proofErr w:type="spellEnd"/>
            <w:r>
              <w:rPr>
                <w:rFonts w:hint="eastAsia"/>
                <w:lang w:eastAsia="zh-CN"/>
              </w:rPr>
              <w:t xml:space="preserve"> NTN UE will report its capability to NR NTN?</w:t>
            </w: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bl>
    <w:p w:rsidR="00023BF8" w:rsidRDefault="00023BF8"/>
    <w:p w:rsidR="00023BF8" w:rsidRDefault="00023BF8"/>
    <w:p w:rsidR="00023BF8" w:rsidRDefault="004450D1">
      <w:pPr>
        <w:pStyle w:val="Heading2"/>
      </w:pPr>
      <w:r>
        <w:t xml:space="preserve">Handling of </w:t>
      </w:r>
      <w:r>
        <w:t>features with different UE capability support in TN and NTN</w:t>
      </w:r>
    </w:p>
    <w:p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proofErr w:type="gramStart"/>
      <w:r>
        <w:rPr>
          <w:lang w:val="en-GB" w:eastAsia="zh-CN"/>
        </w:rPr>
        <w:t>]</w:t>
      </w:r>
      <w:proofErr w:type="gramEnd"/>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The following </w:t>
      </w:r>
      <w:proofErr w:type="gramStart"/>
      <w:r>
        <w:rPr>
          <w:lang w:val="en-GB" w:eastAsia="zh-CN"/>
        </w:rPr>
        <w:t>was agreed</w:t>
      </w:r>
      <w:proofErr w:type="gramEnd"/>
      <w:r>
        <w:rPr>
          <w:lang w:val="en-GB" w:eastAsia="zh-CN"/>
        </w:rPr>
        <w:t xml:space="preserve"> during</w:t>
      </w:r>
      <w:r>
        <w:t xml:space="preserve"> RAN2#121 on expected UE </w:t>
      </w:r>
      <w:proofErr w:type="spellStart"/>
      <w:r>
        <w:t>behaviour</w:t>
      </w:r>
      <w:proofErr w:type="spellEnd"/>
      <w:r>
        <w:t xml:space="preserve"> when a configured feature has different UE support between NTN and TN:</w:t>
      </w:r>
    </w:p>
    <w:p w:rsidR="00023BF8" w:rsidRDefault="004450D1">
      <w:pPr>
        <w:pStyle w:val="ListParagraph"/>
        <w:numPr>
          <w:ilvl w:val="0"/>
          <w:numId w:val="7"/>
        </w:numPr>
        <w:rPr>
          <w:i/>
          <w:iCs/>
        </w:rPr>
      </w:pPr>
      <w:r>
        <w:rPr>
          <w:i/>
          <w:iCs/>
        </w:rPr>
        <w:t xml:space="preserve">RAN2 confirms that </w:t>
      </w:r>
      <w:r>
        <w:rPr>
          <w:b/>
          <w:bCs/>
          <w:i/>
          <w:iCs/>
        </w:rPr>
        <w:t>UE should only use/apply configurati</w:t>
      </w:r>
      <w:r>
        <w:rPr>
          <w:b/>
          <w:bCs/>
          <w:i/>
          <w:iCs/>
        </w:rPr>
        <w:t>ons of a given feature when UE supports the feature</w:t>
      </w:r>
      <w:r>
        <w:rPr>
          <w:i/>
          <w:iCs/>
        </w:rPr>
        <w:t xml:space="preserve"> in the corresponding cell in which UE is camping, connecting, or resuming to</w:t>
      </w:r>
    </w:p>
    <w:p w:rsidR="00023BF8" w:rsidRDefault="004450D1">
      <w:pPr>
        <w:jc w:val="both"/>
        <w:rPr>
          <w:lang w:val="en-GB" w:eastAsia="zh-CN"/>
        </w:rPr>
      </w:pPr>
      <w:r>
        <w:rPr>
          <w:lang w:val="en-GB" w:eastAsia="zh-CN"/>
        </w:rPr>
        <w:t xml:space="preserve">From previous discussion, there was slightly majority preference </w:t>
      </w:r>
      <w:proofErr w:type="gramStart"/>
      <w:r>
        <w:rPr>
          <w:lang w:val="en-GB" w:eastAsia="zh-CN"/>
        </w:rPr>
        <w:t>to only clarify</w:t>
      </w:r>
      <w:proofErr w:type="gramEnd"/>
      <w:r>
        <w:rPr>
          <w:lang w:val="en-GB" w:eastAsia="zh-CN"/>
        </w:rPr>
        <w:t xml:space="preserve"> operation of </w:t>
      </w:r>
      <w:proofErr w:type="spellStart"/>
      <w:r>
        <w:rPr>
          <w:lang w:val="en-GB" w:eastAsia="zh-CN"/>
        </w:rPr>
        <w:t>eDRX</w:t>
      </w:r>
      <w:proofErr w:type="spellEnd"/>
      <w:r>
        <w:rPr>
          <w:lang w:val="en-GB" w:eastAsia="zh-CN"/>
        </w:rPr>
        <w:t xml:space="preserve">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proofErr w:type="gramStart"/>
      <w:r>
        <w:rPr>
          <w:lang w:val="en-GB" w:eastAsia="zh-CN"/>
        </w:rPr>
        <w:t>]</w:t>
      </w:r>
      <w:proofErr w:type="gramEnd"/>
      <w:r>
        <w:rPr>
          <w:lang w:val="en-GB" w:eastAsia="zh-CN"/>
        </w:rPr>
        <w:fldChar w:fldCharType="end"/>
      </w:r>
      <w:r>
        <w:rPr>
          <w:lang w:val="en-GB" w:eastAsia="zh-CN"/>
        </w:rPr>
        <w:fldChar w:fldCharType="begin"/>
      </w:r>
      <w:r>
        <w:rPr>
          <w:lang w:val="en-GB" w:eastAsia="zh-CN"/>
        </w:rPr>
        <w:instrText xml:space="preserve"> REF _Ref132</w:instrText>
      </w:r>
      <w:r>
        <w:rPr>
          <w:lang w:val="en-GB" w:eastAsia="zh-CN"/>
        </w:rPr>
        <w:instrText xml:space="preserve">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rsidR="00023BF8" w:rsidRDefault="004450D1">
      <w:pPr>
        <w:jc w:val="both"/>
      </w:pPr>
      <w:r>
        <w:rPr>
          <w:lang w:val="en-GB" w:eastAsia="zh-CN"/>
        </w:rPr>
        <w:t>W</w:t>
      </w:r>
      <w:r>
        <w:rPr>
          <w:lang w:val="en-GB" w:eastAsia="zh-CN"/>
        </w:rPr>
        <w:t xml:space="preserve">hen UE receives a configuration to </w:t>
      </w:r>
      <w:proofErr w:type="gramStart"/>
      <w:r>
        <w:rPr>
          <w:lang w:val="en-GB" w:eastAsia="zh-CN"/>
        </w:rPr>
        <w:t>be used</w:t>
      </w:r>
      <w:proofErr w:type="gramEnd"/>
      <w:r>
        <w:rPr>
          <w:lang w:val="en-GB" w:eastAsia="zh-CN"/>
        </w:rPr>
        <w:t xml:space="preserve"> in RRC_INACTIVE and that UE complies with it in current cell, current specification captures that this UE in RRC_INACTIVE continue to use it in other cells. Focusing on </w:t>
      </w:r>
      <w:proofErr w:type="spellStart"/>
      <w:r>
        <w:rPr>
          <w:lang w:val="en-GB" w:eastAsia="zh-CN"/>
        </w:rPr>
        <w:t>eDRX</w:t>
      </w:r>
      <w:proofErr w:type="spellEnd"/>
      <w:r>
        <w:rPr>
          <w:lang w:val="en-GB" w:eastAsia="zh-CN"/>
        </w:rPr>
        <w:t xml:space="preserve"> and SDT configurations:</w:t>
      </w:r>
    </w:p>
    <w:p w:rsidR="00023BF8" w:rsidRDefault="004450D1">
      <w:pPr>
        <w:pStyle w:val="ListParagraph"/>
        <w:numPr>
          <w:ilvl w:val="0"/>
          <w:numId w:val="8"/>
        </w:numPr>
        <w:jc w:val="both"/>
      </w:pPr>
      <w:r>
        <w:t>For SDT, when a</w:t>
      </w:r>
      <w:r>
        <w:t xml:space="preserve"> UE is configured with SDT and all other conditions are met (i.e., cell supports SDT, upper layers trigger resume, UL data is available in a RB configured for SDT and lower layer conditions are fulfilled), TS 38.331 defines that the UE shall initiate resum</w:t>
      </w:r>
      <w:r>
        <w:t>e proc. for SDT (as shown below). There is no mention of UE support for SDT:</w:t>
      </w:r>
    </w:p>
    <w:p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 xml:space="preserve">all of the following conditions </w:t>
      </w:r>
      <w:proofErr w:type="gramStart"/>
      <w:r>
        <w:rPr>
          <w:highlight w:val="yellow"/>
          <w:lang w:val="en-GB"/>
        </w:rPr>
        <w:t>are fulfilled</w:t>
      </w:r>
      <w:proofErr w:type="gramEnd"/>
      <w:r>
        <w:rPr>
          <w:lang w:val="en-GB"/>
        </w:rPr>
        <w:t>:</w:t>
      </w:r>
    </w:p>
    <w:p w:rsidR="00023BF8" w:rsidRDefault="004450D1">
      <w:pPr>
        <w:spacing w:after="0"/>
        <w:ind w:left="1424"/>
        <w:jc w:val="both"/>
        <w:rPr>
          <w:lang w:val="en-GB"/>
        </w:rPr>
      </w:pPr>
      <w:r>
        <w:rPr>
          <w:lang w:val="en-GB"/>
        </w:rPr>
        <w:t>1&gt;   the upper layers reque</w:t>
      </w:r>
      <w:r>
        <w:rPr>
          <w:lang w:val="en-GB"/>
        </w:rPr>
        <w:t>st resumption of RRC connection; and</w:t>
      </w:r>
    </w:p>
    <w:p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proofErr w:type="spellStart"/>
      <w:r>
        <w:rPr>
          <w:i/>
          <w:iCs/>
          <w:lang w:val="en-GB"/>
        </w:rPr>
        <w:t>sdt-ConfigCommon</w:t>
      </w:r>
      <w:proofErr w:type="spellEnd"/>
      <w:r>
        <w:rPr>
          <w:lang w:val="en-GB"/>
        </w:rPr>
        <w:t>; and</w:t>
      </w:r>
    </w:p>
    <w:p w:rsidR="00023BF8" w:rsidRDefault="004450D1">
      <w:pPr>
        <w:spacing w:after="0"/>
        <w:ind w:left="1424"/>
        <w:jc w:val="both"/>
        <w:rPr>
          <w:lang w:val="en-GB"/>
        </w:rPr>
      </w:pPr>
      <w:r>
        <w:rPr>
          <w:highlight w:val="yellow"/>
          <w:lang w:val="en-GB"/>
        </w:rPr>
        <w:t xml:space="preserve">1&gt;   </w:t>
      </w:r>
      <w:proofErr w:type="spellStart"/>
      <w:r>
        <w:rPr>
          <w:i/>
          <w:iCs/>
          <w:highlight w:val="yellow"/>
          <w:lang w:val="en-GB"/>
        </w:rPr>
        <w:t>sdt-Config</w:t>
      </w:r>
      <w:proofErr w:type="spellEnd"/>
      <w:r>
        <w:rPr>
          <w:highlight w:val="yellow"/>
          <w:lang w:val="en-GB"/>
        </w:rPr>
        <w:t xml:space="preserve"> is configured; and</w:t>
      </w:r>
    </w:p>
    <w:p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rsidR="00023BF8" w:rsidRDefault="004450D1">
      <w:pPr>
        <w:spacing w:after="0"/>
        <w:ind w:left="1424"/>
        <w:jc w:val="both"/>
        <w:rPr>
          <w:lang w:val="en-GB"/>
        </w:rPr>
      </w:pPr>
      <w:proofErr w:type="gramStart"/>
      <w:r>
        <w:rPr>
          <w:lang w:val="en-GB"/>
        </w:rPr>
        <w:t>1</w:t>
      </w:r>
      <w:proofErr w:type="gramEnd"/>
      <w:r>
        <w:rPr>
          <w:lang w:val="en-GB"/>
        </w:rPr>
        <w:t xml:space="preserve">&gt;   lower layers indicate that conditions for </w:t>
      </w:r>
      <w:r>
        <w:rPr>
          <w:lang w:val="en-GB"/>
        </w:rPr>
        <w:t>initiating SDT as specified in TS 38.321 [3] are fulfilled.</w:t>
      </w:r>
    </w:p>
    <w:p w:rsidR="00023BF8" w:rsidRDefault="004450D1">
      <w:pPr>
        <w:ind w:left="1150"/>
        <w:jc w:val="both"/>
        <w:rPr>
          <w:lang w:val="en-GB"/>
        </w:rPr>
      </w:pPr>
      <w:r>
        <w:rPr>
          <w:lang w:val="en-GB"/>
        </w:rPr>
        <w:t>NOTE:</w:t>
      </w:r>
      <w:r>
        <w:rPr>
          <w:lang w:val="en-GB"/>
        </w:rPr>
        <w:tab/>
        <w:t xml:space="preserve">How the UE determines that all pending data in UL </w:t>
      </w:r>
      <w:proofErr w:type="gramStart"/>
      <w:r>
        <w:rPr>
          <w:lang w:val="en-GB"/>
        </w:rPr>
        <w:t>is mapped</w:t>
      </w:r>
      <w:proofErr w:type="gramEnd"/>
      <w:r>
        <w:rPr>
          <w:lang w:val="en-GB"/>
        </w:rPr>
        <w:t xml:space="preserve"> to radio bearers configured for SDT is left to UE implementation.</w:t>
      </w:r>
    </w:p>
    <w:p w:rsidR="00023BF8" w:rsidRDefault="004450D1">
      <w:pPr>
        <w:pStyle w:val="ListParagraph"/>
        <w:numPr>
          <w:ilvl w:val="0"/>
          <w:numId w:val="8"/>
        </w:numPr>
        <w:jc w:val="both"/>
        <w:rPr>
          <w:lang w:val="en-GB" w:eastAsia="zh-CN"/>
        </w:rPr>
      </w:pPr>
      <w:r>
        <w:t xml:space="preserve">For INACTIVE </w:t>
      </w:r>
      <w:proofErr w:type="spellStart"/>
      <w:r>
        <w:t>eDRX</w:t>
      </w:r>
      <w:proofErr w:type="spellEnd"/>
      <w:r>
        <w:t xml:space="preserve">, when UE </w:t>
      </w:r>
      <w:proofErr w:type="gramStart"/>
      <w:r>
        <w:t>is configured</w:t>
      </w:r>
      <w:proofErr w:type="gramEnd"/>
      <w:r>
        <w:t xml:space="preserve"> with INACTIVE </w:t>
      </w:r>
      <w:proofErr w:type="spellStart"/>
      <w:r>
        <w:t>eDRX</w:t>
      </w:r>
      <w:proofErr w:type="spellEnd"/>
      <w:r>
        <w:t xml:space="preserve"> and </w:t>
      </w:r>
      <w:r>
        <w:t xml:space="preserve">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rsidR="00023BF8" w:rsidRDefault="004450D1">
      <w:pPr>
        <w:rPr>
          <w:lang w:val="en-GB" w:eastAsia="zh-CN"/>
        </w:rPr>
      </w:pPr>
      <w:r>
        <w:rPr>
          <w:lang w:val="en-GB" w:eastAsia="zh-CN"/>
        </w:rPr>
        <w:t>In summary,</w:t>
      </w:r>
      <w:r>
        <w:rPr>
          <w:lang w:val="en-GB" w:eastAsia="zh-CN"/>
        </w:rPr>
        <w:t xml:space="preserve"> when UE </w:t>
      </w:r>
      <w:proofErr w:type="gramStart"/>
      <w:r>
        <w:rPr>
          <w:lang w:val="en-GB" w:eastAsia="zh-CN"/>
        </w:rPr>
        <w:t>is configured</w:t>
      </w:r>
      <w:proofErr w:type="gramEnd"/>
      <w:r>
        <w:rPr>
          <w:lang w:val="en-GB" w:eastAsia="zh-CN"/>
        </w:rPr>
        <w:t xml:space="preserve"> with SDT/</w:t>
      </w:r>
      <w:proofErr w:type="spellStart"/>
      <w:r>
        <w:rPr>
          <w:lang w:val="en-GB" w:eastAsia="zh-CN"/>
        </w:rPr>
        <w:t>eDRX</w:t>
      </w:r>
      <w:proofErr w:type="spellEnd"/>
      <w:r>
        <w:rPr>
          <w:lang w:val="en-GB" w:eastAsia="zh-CN"/>
        </w:rPr>
        <w:t xml:space="preserve"> and the conditions for SDT/</w:t>
      </w:r>
      <w:proofErr w:type="spellStart"/>
      <w:r>
        <w:rPr>
          <w:lang w:val="en-GB" w:eastAsia="zh-CN"/>
        </w:rPr>
        <w:t>eDRX</w:t>
      </w:r>
      <w:proofErr w:type="spellEnd"/>
      <w:r>
        <w:rPr>
          <w:lang w:val="en-GB" w:eastAsia="zh-CN"/>
        </w:rPr>
        <w:t xml:space="preserve"> are met, UE is expected to initiate SDT or operate in </w:t>
      </w:r>
      <w:proofErr w:type="spellStart"/>
      <w:r>
        <w:rPr>
          <w:lang w:val="en-GB" w:eastAsia="zh-CN"/>
        </w:rPr>
        <w:t>eDRX</w:t>
      </w:r>
      <w:proofErr w:type="spellEnd"/>
      <w:r>
        <w:rPr>
          <w:lang w:val="en-GB" w:eastAsia="zh-CN"/>
        </w:rPr>
        <w:t>. There is no check in the current specification on whether UE supports SDT/</w:t>
      </w:r>
      <w:proofErr w:type="spellStart"/>
      <w:r>
        <w:rPr>
          <w:lang w:val="en-GB" w:eastAsia="zh-CN"/>
        </w:rPr>
        <w:t>eDRX</w:t>
      </w:r>
      <w:proofErr w:type="spellEnd"/>
      <w:r>
        <w:rPr>
          <w:lang w:val="en-GB" w:eastAsia="zh-CN"/>
        </w:rPr>
        <w:t xml:space="preserve"> in current cell. When the UE that does not suppo</w:t>
      </w:r>
      <w:r>
        <w:rPr>
          <w:lang w:val="en-GB" w:eastAsia="zh-CN"/>
        </w:rPr>
        <w:t xml:space="preserve">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proofErr w:type="gramStart"/>
      <w:r>
        <w:rPr>
          <w:lang w:val="en-GB" w:eastAsia="zh-CN"/>
        </w:rPr>
        <w:t>]</w:t>
      </w:r>
      <w:proofErr w:type="gramEnd"/>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rsidR="00023BF8" w:rsidRDefault="004450D1">
      <w:pPr>
        <w:pStyle w:val="Heading3"/>
      </w:pPr>
      <w:r>
        <w:t xml:space="preserve">UE behaviour </w:t>
      </w:r>
    </w:p>
    <w:p w:rsidR="00023BF8" w:rsidRDefault="004450D1">
      <w:pPr>
        <w:pStyle w:val="ListParagraph"/>
        <w:numPr>
          <w:ilvl w:val="0"/>
          <w:numId w:val="6"/>
        </w:numPr>
        <w:spacing w:after="120"/>
        <w:ind w:left="360"/>
        <w:contextualSpacing w:val="0"/>
        <w:jc w:val="both"/>
      </w:pPr>
      <w:r>
        <w:t xml:space="preserve">When a UE in RRC_INACTIVE reselect to a cell in which cannot comply with one of its configured features (i.e. </w:t>
      </w:r>
      <w:proofErr w:type="spellStart"/>
      <w:r>
        <w:t>eDRX</w:t>
      </w:r>
      <w:proofErr w:type="spellEnd"/>
      <w:r>
        <w:t xml:space="preserve"> or SDT), what is the preferred UE </w:t>
      </w:r>
      <w:proofErr w:type="spellStart"/>
      <w:r>
        <w:t>behaviour</w:t>
      </w:r>
      <w:proofErr w:type="spellEnd"/>
      <w:r>
        <w:t>?</w:t>
      </w:r>
    </w:p>
    <w:p w:rsidR="00023BF8" w:rsidRDefault="004450D1">
      <w:pPr>
        <w:pStyle w:val="ListParagraph"/>
        <w:numPr>
          <w:ilvl w:val="1"/>
          <w:numId w:val="6"/>
        </w:numPr>
        <w:tabs>
          <w:tab w:val="left" w:pos="720"/>
        </w:tabs>
        <w:spacing w:after="120"/>
        <w:ind w:left="720"/>
        <w:contextualSpacing w:val="0"/>
        <w:jc w:val="both"/>
      </w:pPr>
      <w:r>
        <w:t xml:space="preserve">UE autonomously </w:t>
      </w:r>
      <w:r>
        <w:t xml:space="preserve">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rsidR="00023BF8" w:rsidRDefault="004450D1">
      <w:pPr>
        <w:pStyle w:val="ListParagraph"/>
        <w:numPr>
          <w:ilvl w:val="1"/>
          <w:numId w:val="6"/>
        </w:numPr>
        <w:tabs>
          <w:tab w:val="left" w:pos="720"/>
        </w:tabs>
        <w:spacing w:after="240"/>
        <w:ind w:left="720"/>
        <w:contextualSpacing w:val="0"/>
        <w:jc w:val="both"/>
      </w:pPr>
      <w:r>
        <w:t>UE ignores the corresponding configuration (i.e., is c</w:t>
      </w:r>
      <w:r>
        <w:t xml:space="preserve">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w:t>
      </w:r>
      <w:proofErr w:type="gramStart"/>
      <w:r>
        <w:t>configuration is released by the network</w:t>
      </w:r>
      <w:proofErr w:type="gramEnd"/>
      <w:r>
        <w:t xml:space="preserve"> when the UE initiates an SDT/</w:t>
      </w:r>
      <w:r>
        <w:t>Connection with the network.</w:t>
      </w:r>
    </w:p>
    <w:tbl>
      <w:tblPr>
        <w:tblStyle w:val="TableGrid"/>
        <w:tblW w:w="0" w:type="auto"/>
        <w:tblLook w:val="04A0" w:firstRow="1" w:lastRow="0" w:firstColumn="1" w:lastColumn="0" w:noHBand="0" w:noVBand="1"/>
      </w:tblPr>
      <w:tblGrid>
        <w:gridCol w:w="1975"/>
        <w:gridCol w:w="1170"/>
        <w:gridCol w:w="6205"/>
      </w:tblGrid>
      <w:tr w:rsidR="00023BF8">
        <w:tc>
          <w:tcPr>
            <w:tcW w:w="1975" w:type="dxa"/>
            <w:shd w:val="clear" w:color="auto" w:fill="BFBFBF" w:themeFill="background1" w:themeFillShade="BF"/>
          </w:tcPr>
          <w:p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rsidR="00023BF8" w:rsidRDefault="004450D1">
            <w:pPr>
              <w:spacing w:after="0"/>
              <w:jc w:val="center"/>
              <w:rPr>
                <w:b/>
                <w:bCs/>
                <w:lang w:eastAsia="ja-JP"/>
              </w:rPr>
            </w:pPr>
            <w:r>
              <w:rPr>
                <w:b/>
                <w:bCs/>
                <w:lang w:eastAsia="ja-JP"/>
              </w:rPr>
              <w:t>Comments, if any</w:t>
            </w:r>
          </w:p>
        </w:tc>
      </w:tr>
      <w:tr w:rsidR="00023BF8">
        <w:tc>
          <w:tcPr>
            <w:tcW w:w="1975" w:type="dxa"/>
          </w:tcPr>
          <w:p w:rsidR="00023BF8" w:rsidRDefault="004450D1">
            <w:pPr>
              <w:spacing w:after="0"/>
              <w:rPr>
                <w:lang w:eastAsia="ja-JP"/>
              </w:rPr>
            </w:pPr>
            <w:proofErr w:type="spellStart"/>
            <w:r>
              <w:rPr>
                <w:lang w:eastAsia="ja-JP"/>
              </w:rPr>
              <w:t>MediaTek</w:t>
            </w:r>
            <w:proofErr w:type="spellEnd"/>
          </w:p>
        </w:tc>
        <w:tc>
          <w:tcPr>
            <w:tcW w:w="1170" w:type="dxa"/>
          </w:tcPr>
          <w:p w:rsidR="00023BF8" w:rsidRDefault="004450D1">
            <w:pPr>
              <w:spacing w:after="0"/>
              <w:rPr>
                <w:lang w:eastAsia="ja-JP"/>
              </w:rPr>
            </w:pPr>
            <w:r>
              <w:rPr>
                <w:lang w:eastAsia="ja-JP"/>
              </w:rPr>
              <w:t>Option 2</w:t>
            </w:r>
          </w:p>
        </w:tc>
        <w:tc>
          <w:tcPr>
            <w:tcW w:w="6205" w:type="dxa"/>
          </w:tcPr>
          <w:p w:rsidR="00023BF8" w:rsidRDefault="00023BF8">
            <w:pPr>
              <w:spacing w:after="0"/>
              <w:rPr>
                <w:lang w:eastAsia="ja-JP"/>
              </w:rPr>
            </w:pPr>
          </w:p>
        </w:tc>
      </w:tr>
      <w:tr w:rsidR="00023BF8">
        <w:tc>
          <w:tcPr>
            <w:tcW w:w="1975" w:type="dxa"/>
          </w:tcPr>
          <w:p w:rsidR="00023BF8" w:rsidRDefault="004450D1">
            <w:pPr>
              <w:spacing w:after="0"/>
              <w:rPr>
                <w:lang w:eastAsia="zh-CN"/>
              </w:rPr>
            </w:pPr>
            <w:r>
              <w:rPr>
                <w:rFonts w:hint="eastAsia"/>
                <w:lang w:eastAsia="zh-CN"/>
              </w:rPr>
              <w:t>v</w:t>
            </w:r>
            <w:r>
              <w:rPr>
                <w:lang w:eastAsia="zh-CN"/>
              </w:rPr>
              <w:t>ivo</w:t>
            </w:r>
          </w:p>
        </w:tc>
        <w:tc>
          <w:tcPr>
            <w:tcW w:w="1170" w:type="dxa"/>
          </w:tcPr>
          <w:p w:rsidR="00023BF8" w:rsidRDefault="004450D1">
            <w:pPr>
              <w:spacing w:after="0"/>
              <w:rPr>
                <w:lang w:eastAsia="zh-CN"/>
              </w:rPr>
            </w:pPr>
            <w:r>
              <w:rPr>
                <w:rFonts w:hint="eastAsia"/>
                <w:lang w:eastAsia="zh-CN"/>
              </w:rPr>
              <w:t>S</w:t>
            </w:r>
            <w:r>
              <w:rPr>
                <w:lang w:eastAsia="zh-CN"/>
              </w:rPr>
              <w:t>ee comments</w:t>
            </w:r>
          </w:p>
        </w:tc>
        <w:tc>
          <w:tcPr>
            <w:tcW w:w="6205" w:type="dxa"/>
          </w:tcPr>
          <w:p w:rsidR="00023BF8" w:rsidRDefault="004450D1">
            <w:pPr>
              <w:spacing w:after="0"/>
              <w:rPr>
                <w:rFonts w:eastAsia="Yu Mincho"/>
                <w:lang w:eastAsia="ja-JP"/>
              </w:rPr>
            </w:pPr>
            <w:r>
              <w:rPr>
                <w:lang w:eastAsia="ja-JP"/>
              </w:rPr>
              <w:t xml:space="preserve">Similar to the behavior of inability to comply with </w:t>
            </w:r>
            <w:proofErr w:type="spellStart"/>
            <w:r>
              <w:rPr>
                <w:i/>
                <w:iCs/>
                <w:lang w:eastAsia="ja-JP"/>
              </w:rPr>
              <w:t>RRCReconfiguration</w:t>
            </w:r>
            <w:proofErr w:type="spellEnd"/>
            <w:r>
              <w:rPr>
                <w:lang w:eastAsia="ja-JP"/>
              </w:rPr>
              <w:t xml:space="preserve"> in the current specification, UE ignores the corresponding configuration. Regarding how</w:t>
            </w:r>
            <w:r>
              <w:rPr>
                <w:rFonts w:hint="eastAsia"/>
                <w:lang w:eastAsia="zh-CN"/>
              </w:rPr>
              <w:t>/</w:t>
            </w:r>
            <w:r>
              <w:rPr>
                <w:lang w:eastAsia="zh-CN"/>
              </w:rPr>
              <w:t xml:space="preserve">when to release the configuration, we think it is up to implementation, no spec impact </w:t>
            </w:r>
            <w:proofErr w:type="gramStart"/>
            <w:r>
              <w:rPr>
                <w:lang w:eastAsia="zh-CN"/>
              </w:rPr>
              <w:t>is needed</w:t>
            </w:r>
            <w:proofErr w:type="gramEnd"/>
            <w:r>
              <w:rPr>
                <w:lang w:eastAsia="zh-CN"/>
              </w:rPr>
              <w:t>.</w:t>
            </w:r>
          </w:p>
        </w:tc>
      </w:tr>
      <w:tr w:rsidR="00023BF8">
        <w:tc>
          <w:tcPr>
            <w:tcW w:w="1975" w:type="dxa"/>
          </w:tcPr>
          <w:p w:rsidR="00023BF8" w:rsidRDefault="004450D1">
            <w:pPr>
              <w:spacing w:after="0"/>
              <w:rPr>
                <w:lang w:eastAsia="ja-JP"/>
              </w:rPr>
            </w:pPr>
            <w:r>
              <w:rPr>
                <w:lang w:eastAsia="ja-JP"/>
              </w:rPr>
              <w:t>Intel</w:t>
            </w:r>
          </w:p>
        </w:tc>
        <w:tc>
          <w:tcPr>
            <w:tcW w:w="1170" w:type="dxa"/>
          </w:tcPr>
          <w:p w:rsidR="00023BF8" w:rsidRDefault="004450D1">
            <w:pPr>
              <w:spacing w:after="0"/>
              <w:rPr>
                <w:lang w:eastAsia="ja-JP"/>
              </w:rPr>
            </w:pPr>
            <w:r>
              <w:rPr>
                <w:lang w:eastAsia="ja-JP"/>
              </w:rPr>
              <w:t>Option 2</w:t>
            </w:r>
          </w:p>
        </w:tc>
        <w:tc>
          <w:tcPr>
            <w:tcW w:w="6205" w:type="dxa"/>
          </w:tcPr>
          <w:p w:rsidR="00023BF8" w:rsidRDefault="004450D1">
            <w:pPr>
              <w:spacing w:after="0"/>
              <w:rPr>
                <w:lang w:eastAsia="ja-JP"/>
              </w:rPr>
            </w:pPr>
            <w:r>
              <w:rPr>
                <w:lang w:eastAsia="ja-JP"/>
              </w:rPr>
              <w:t xml:space="preserve">Option 1) is not preferable as it allows the UE </w:t>
            </w:r>
            <w:proofErr w:type="gramStart"/>
            <w:r>
              <w:rPr>
                <w:lang w:eastAsia="ja-JP"/>
              </w:rPr>
              <w:t>to autonomously release</w:t>
            </w:r>
            <w:proofErr w:type="gramEnd"/>
            <w:r>
              <w:rPr>
                <w:lang w:eastAsia="ja-JP"/>
              </w:rPr>
              <w:t xml:space="preserve"> a configuration provided by the network without network knowledge. This kind of </w:t>
            </w:r>
            <w:proofErr w:type="spellStart"/>
            <w:r>
              <w:rPr>
                <w:lang w:eastAsia="ja-JP"/>
              </w:rPr>
              <w:t>behaviour</w:t>
            </w:r>
            <w:proofErr w:type="spellEnd"/>
            <w:r>
              <w:rPr>
                <w:lang w:eastAsia="ja-JP"/>
              </w:rPr>
              <w:t xml:space="preserve"> is usually not preferable and can cause out-of-sync scenarios between UE and network (e.g. whe</w:t>
            </w:r>
            <w:r>
              <w:rPr>
                <w:lang w:eastAsia="ja-JP"/>
              </w:rPr>
              <w:t xml:space="preserve">n UE performs </w:t>
            </w:r>
            <w:proofErr w:type="gramStart"/>
            <w:r>
              <w:rPr>
                <w:lang w:eastAsia="ja-JP"/>
              </w:rPr>
              <w:t>ping pong</w:t>
            </w:r>
            <w:proofErr w:type="gramEnd"/>
            <w:r>
              <w:rPr>
                <w:lang w:eastAsia="ja-JP"/>
              </w:rPr>
              <w:t xml:space="preserve"> </w:t>
            </w:r>
            <w:proofErr w:type="spellStart"/>
            <w:r>
              <w:rPr>
                <w:lang w:eastAsia="ja-JP"/>
              </w:rPr>
              <w:t>btwn</w:t>
            </w:r>
            <w:proofErr w:type="spellEnd"/>
            <w:r>
              <w:rPr>
                <w:lang w:eastAsia="ja-JP"/>
              </w:rPr>
              <w:t xml:space="preserve"> TN and NTN). On summary, option 2 is preferable for us to keep intended configured UE </w:t>
            </w:r>
            <w:proofErr w:type="spellStart"/>
            <w:r>
              <w:rPr>
                <w:lang w:eastAsia="ja-JP"/>
              </w:rPr>
              <w:t>behaviour</w:t>
            </w:r>
            <w:proofErr w:type="spellEnd"/>
            <w:r>
              <w:rPr>
                <w:lang w:eastAsia="ja-JP"/>
              </w:rPr>
              <w:t xml:space="preserve"> when UE performs ping-pong happen between TN and NTN. </w:t>
            </w:r>
          </w:p>
          <w:p w:rsidR="00023BF8" w:rsidRDefault="004450D1">
            <w:pPr>
              <w:spacing w:after="0"/>
              <w:rPr>
                <w:lang w:eastAsia="ja-JP"/>
              </w:rPr>
            </w:pPr>
            <w:proofErr w:type="gramStart"/>
            <w:r>
              <w:rPr>
                <w:lang w:eastAsia="ja-JP"/>
              </w:rPr>
              <w:t>Another possible is to align with legacy handling when UE receives a configu</w:t>
            </w:r>
            <w:r>
              <w:rPr>
                <w:lang w:eastAsia="ja-JP"/>
              </w:rPr>
              <w:t xml:space="preserve">ration that cannot comply, however our understanding is that this is not preferable as it would require unnecessary signaling and significant specification changes in order to enable e.g., upon cell reselecting from NTN to TN (or </w:t>
            </w:r>
            <w:proofErr w:type="spellStart"/>
            <w:r>
              <w:rPr>
                <w:lang w:eastAsia="ja-JP"/>
              </w:rPr>
              <w:t>viceverse</w:t>
            </w:r>
            <w:proofErr w:type="spellEnd"/>
            <w:r>
              <w:rPr>
                <w:lang w:eastAsia="ja-JP"/>
              </w:rPr>
              <w:t>), the UE to resu</w:t>
            </w:r>
            <w:r>
              <w:rPr>
                <w:lang w:eastAsia="ja-JP"/>
              </w:rPr>
              <w:t>me due to a configuration that becomes invalid (similar to legacy operation defined in section “</w:t>
            </w:r>
            <w:r>
              <w:rPr>
                <w:i/>
                <w:iCs/>
                <w:lang w:eastAsia="ja-JP"/>
              </w:rPr>
              <w:t xml:space="preserve">5.3.5.8.2 Inability to comply with </w:t>
            </w:r>
            <w:proofErr w:type="spellStart"/>
            <w:r>
              <w:rPr>
                <w:i/>
                <w:iCs/>
                <w:lang w:eastAsia="ja-JP"/>
              </w:rPr>
              <w:t>RRCReconfiguration</w:t>
            </w:r>
            <w:proofErr w:type="spellEnd"/>
            <w:r>
              <w:rPr>
                <w:lang w:eastAsia="ja-JP"/>
              </w:rPr>
              <w:t>“) or even establish a new RRC connection if UE were moved autonomously to RRC_IDLE (similar to legacy oper</w:t>
            </w:r>
            <w:r>
              <w:rPr>
                <w:lang w:eastAsia="ja-JP"/>
              </w:rPr>
              <w:t>ation defined in section “</w:t>
            </w:r>
            <w:r>
              <w:rPr>
                <w:i/>
                <w:iCs/>
                <w:lang w:eastAsia="ja-JP"/>
              </w:rPr>
              <w:t xml:space="preserve">5.3.13.11  Inability to comply with </w:t>
            </w:r>
            <w:proofErr w:type="spellStart"/>
            <w:r>
              <w:rPr>
                <w:i/>
                <w:iCs/>
                <w:lang w:eastAsia="ja-JP"/>
              </w:rPr>
              <w:t>RRCResume</w:t>
            </w:r>
            <w:proofErr w:type="spellEnd"/>
            <w:r>
              <w:rPr>
                <w:lang w:eastAsia="ja-JP"/>
              </w:rPr>
              <w:t>”).</w:t>
            </w:r>
            <w:proofErr w:type="gramEnd"/>
          </w:p>
        </w:tc>
      </w:tr>
      <w:tr w:rsidR="00023BF8">
        <w:tc>
          <w:tcPr>
            <w:tcW w:w="1975" w:type="dxa"/>
          </w:tcPr>
          <w:p w:rsidR="00023BF8" w:rsidRDefault="004450D1">
            <w:pPr>
              <w:spacing w:after="0"/>
              <w:rPr>
                <w:lang w:eastAsia="zh-CN"/>
              </w:rPr>
            </w:pPr>
            <w:r>
              <w:rPr>
                <w:rFonts w:hint="eastAsia"/>
                <w:lang w:eastAsia="zh-CN"/>
              </w:rPr>
              <w:t>O</w:t>
            </w:r>
            <w:r>
              <w:rPr>
                <w:lang w:eastAsia="zh-CN"/>
              </w:rPr>
              <w:t>PPO</w:t>
            </w:r>
          </w:p>
        </w:tc>
        <w:tc>
          <w:tcPr>
            <w:tcW w:w="1170" w:type="dxa"/>
          </w:tcPr>
          <w:p w:rsidR="00023BF8" w:rsidRDefault="004450D1">
            <w:pPr>
              <w:spacing w:after="0"/>
              <w:rPr>
                <w:lang w:eastAsia="zh-CN"/>
              </w:rPr>
            </w:pPr>
            <w:r>
              <w:rPr>
                <w:rFonts w:hint="eastAsia"/>
                <w:lang w:eastAsia="zh-CN"/>
              </w:rPr>
              <w:t>O</w:t>
            </w:r>
            <w:r>
              <w:rPr>
                <w:lang w:eastAsia="zh-CN"/>
              </w:rPr>
              <w:t>ption 2</w:t>
            </w:r>
          </w:p>
        </w:tc>
        <w:tc>
          <w:tcPr>
            <w:tcW w:w="6205" w:type="dxa"/>
          </w:tcPr>
          <w:p w:rsidR="00023BF8" w:rsidRDefault="00023BF8">
            <w:pPr>
              <w:spacing w:after="0"/>
              <w:rPr>
                <w:lang w:val="en-GB" w:eastAsia="ja-JP"/>
              </w:rPr>
            </w:pPr>
          </w:p>
        </w:tc>
      </w:tr>
      <w:tr w:rsidR="00023BF8">
        <w:tc>
          <w:tcPr>
            <w:tcW w:w="1975" w:type="dxa"/>
          </w:tcPr>
          <w:p w:rsidR="00023BF8" w:rsidRDefault="004450D1">
            <w:pPr>
              <w:spacing w:after="0"/>
              <w:rPr>
                <w:lang w:eastAsia="zh-CN"/>
              </w:rPr>
            </w:pPr>
            <w:r>
              <w:rPr>
                <w:rFonts w:hint="eastAsia"/>
                <w:lang w:eastAsia="zh-CN"/>
              </w:rPr>
              <w:t>X</w:t>
            </w:r>
            <w:r>
              <w:rPr>
                <w:lang w:eastAsia="zh-CN"/>
              </w:rPr>
              <w:t>iaomi</w:t>
            </w:r>
          </w:p>
        </w:tc>
        <w:tc>
          <w:tcPr>
            <w:tcW w:w="1170" w:type="dxa"/>
          </w:tcPr>
          <w:p w:rsidR="00023BF8" w:rsidRDefault="004450D1">
            <w:pPr>
              <w:spacing w:after="0"/>
              <w:rPr>
                <w:lang w:eastAsia="zh-CN"/>
              </w:rPr>
            </w:pPr>
            <w:r>
              <w:rPr>
                <w:rFonts w:hint="eastAsia"/>
                <w:lang w:eastAsia="zh-CN"/>
              </w:rPr>
              <w:t>O</w:t>
            </w:r>
            <w:r>
              <w:rPr>
                <w:lang w:eastAsia="zh-CN"/>
              </w:rPr>
              <w:t>ption 2</w:t>
            </w:r>
          </w:p>
        </w:tc>
        <w:tc>
          <w:tcPr>
            <w:tcW w:w="6205" w:type="dxa"/>
          </w:tcPr>
          <w:p w:rsidR="00023BF8" w:rsidRDefault="00023BF8">
            <w:pPr>
              <w:spacing w:after="0"/>
              <w:rPr>
                <w:lang w:val="en-GB" w:eastAsia="ja-JP"/>
              </w:rPr>
            </w:pPr>
          </w:p>
        </w:tc>
      </w:tr>
      <w:tr w:rsidR="00023BF8">
        <w:tc>
          <w:tcPr>
            <w:tcW w:w="1975" w:type="dxa"/>
          </w:tcPr>
          <w:p w:rsidR="00023BF8" w:rsidRDefault="004450D1">
            <w:pPr>
              <w:spacing w:after="0"/>
              <w:rPr>
                <w:lang w:eastAsia="zh-CN"/>
              </w:rPr>
            </w:pPr>
            <w:r>
              <w:rPr>
                <w:rFonts w:hint="eastAsia"/>
                <w:lang w:eastAsia="zh-CN"/>
              </w:rPr>
              <w:t>ZTE</w:t>
            </w:r>
          </w:p>
        </w:tc>
        <w:tc>
          <w:tcPr>
            <w:tcW w:w="1170" w:type="dxa"/>
          </w:tcPr>
          <w:p w:rsidR="00023BF8" w:rsidRDefault="004450D1">
            <w:pPr>
              <w:spacing w:after="0"/>
              <w:rPr>
                <w:lang w:eastAsia="zh-CN"/>
              </w:rPr>
            </w:pPr>
            <w:r>
              <w:rPr>
                <w:rFonts w:hint="eastAsia"/>
                <w:lang w:eastAsia="zh-CN"/>
              </w:rPr>
              <w:t>See comments</w:t>
            </w:r>
          </w:p>
        </w:tc>
        <w:tc>
          <w:tcPr>
            <w:tcW w:w="6205" w:type="dxa"/>
          </w:tcPr>
          <w:p w:rsidR="00023BF8" w:rsidRDefault="004450D1">
            <w:pPr>
              <w:spacing w:after="0"/>
              <w:rPr>
                <w:lang w:eastAsia="zh-CN"/>
              </w:rPr>
            </w:pPr>
            <w:r>
              <w:rPr>
                <w:rFonts w:hint="eastAsia"/>
                <w:lang w:eastAsia="zh-CN"/>
              </w:rPr>
              <w:t xml:space="preserve">This issue is not an NTN specific issue and </w:t>
            </w:r>
            <w:proofErr w:type="gramStart"/>
            <w:r>
              <w:rPr>
                <w:rFonts w:hint="eastAsia"/>
                <w:lang w:eastAsia="zh-CN"/>
              </w:rPr>
              <w:t>has been discussed</w:t>
            </w:r>
            <w:proofErr w:type="gramEnd"/>
            <w:r>
              <w:rPr>
                <w:rFonts w:hint="eastAsia"/>
                <w:lang w:eastAsia="zh-CN"/>
              </w:rPr>
              <w:t xml:space="preserve"> for several meetings. It has been point out that the common understanding is that UE will not initiate a feature that it </w:t>
            </w:r>
            <w:proofErr w:type="gramStart"/>
            <w:r>
              <w:rPr>
                <w:rFonts w:hint="eastAsia"/>
                <w:lang w:eastAsia="zh-CN"/>
              </w:rPr>
              <w:t>is not supported</w:t>
            </w:r>
            <w:proofErr w:type="gramEnd"/>
            <w:r>
              <w:rPr>
                <w:rFonts w:hint="eastAsia"/>
                <w:lang w:eastAsia="zh-CN"/>
              </w:rPr>
              <w:t xml:space="preserve"> in current cell, and no specs impact is needed, otherwi</w:t>
            </w:r>
            <w:r>
              <w:rPr>
                <w:rFonts w:hint="eastAsia"/>
                <w:lang w:eastAsia="zh-CN"/>
              </w:rPr>
              <w:t xml:space="preserve">se we will end up doing this for every feature. </w:t>
            </w:r>
          </w:p>
        </w:tc>
      </w:tr>
      <w:tr w:rsidR="00023BF8">
        <w:tc>
          <w:tcPr>
            <w:tcW w:w="1975" w:type="dxa"/>
          </w:tcPr>
          <w:p w:rsidR="00023BF8" w:rsidRDefault="00BB201C">
            <w:pPr>
              <w:spacing w:after="0"/>
              <w:rPr>
                <w:lang w:eastAsia="ja-JP"/>
              </w:rPr>
            </w:pPr>
            <w:r>
              <w:rPr>
                <w:lang w:eastAsia="ja-JP"/>
              </w:rPr>
              <w:t>Thales</w:t>
            </w:r>
          </w:p>
        </w:tc>
        <w:tc>
          <w:tcPr>
            <w:tcW w:w="1170" w:type="dxa"/>
          </w:tcPr>
          <w:p w:rsidR="00023BF8" w:rsidRDefault="00BB201C">
            <w:pPr>
              <w:spacing w:after="0"/>
              <w:rPr>
                <w:lang w:eastAsia="ja-JP"/>
              </w:rPr>
            </w:pPr>
            <w:r>
              <w:rPr>
                <w:lang w:eastAsia="ja-JP"/>
              </w:rPr>
              <w:t>Option 2</w:t>
            </w: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bl>
    <w:p w:rsidR="00023BF8" w:rsidRDefault="00023BF8"/>
    <w:p w:rsidR="00023BF8" w:rsidRDefault="004450D1">
      <w:pPr>
        <w:pStyle w:val="Heading3"/>
      </w:pPr>
      <w:r>
        <w:t>Cell reselection scenario</w:t>
      </w:r>
    </w:p>
    <w:p w:rsidR="00023BF8" w:rsidRDefault="004450D1">
      <w:pPr>
        <w:spacing w:after="120"/>
      </w:pPr>
      <w:r>
        <w:rPr>
          <w:lang w:val="en-GB"/>
        </w:rPr>
        <w:t xml:space="preserve">A UE could have different capability support of </w:t>
      </w:r>
      <w:proofErr w:type="spellStart"/>
      <w:r>
        <w:rPr>
          <w:lang w:val="en-GB"/>
        </w:rPr>
        <w:t>eDRX</w:t>
      </w:r>
      <w:proofErr w:type="spellEnd"/>
      <w:r>
        <w:rPr>
          <w:lang w:val="en-GB"/>
        </w:rPr>
        <w:t xml:space="preserve"> and RRC_INACTIVE in TN and NTN. For example, UE can support SDT in NTN but not in TN or vice versa.  Rapporteur’s understanding is that the concern scenario is equally applicable regardless of whether ce</w:t>
      </w:r>
      <w:r>
        <w:rPr>
          <w:lang w:val="en-GB"/>
        </w:rPr>
        <w:t xml:space="preserve">ll reselection </w:t>
      </w:r>
      <w:proofErr w:type="gramStart"/>
      <w:r>
        <w:rPr>
          <w:lang w:val="en-GB"/>
        </w:rPr>
        <w:t>is performed</w:t>
      </w:r>
      <w:proofErr w:type="gramEnd"/>
      <w:r>
        <w:rPr>
          <w:lang w:val="en-GB"/>
        </w:rPr>
        <w:t xml:space="preserve">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proofErr w:type="gramStart"/>
      <w:r>
        <w:rPr>
          <w:lang w:val="en-GB"/>
        </w:rPr>
        <w:t>]</w:t>
      </w:r>
      <w:proofErr w:type="gramEnd"/>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w:t>
      </w:r>
      <w:r>
        <w:rPr>
          <w:lang w:val="en-GB"/>
        </w:rPr>
        <w:t>4]</w:t>
      </w:r>
      <w:r>
        <w:rPr>
          <w:lang w:val="en-GB"/>
        </w:rPr>
        <w:fldChar w:fldCharType="end"/>
      </w:r>
      <w:r>
        <w:rPr>
          <w:lang w:val="en-GB"/>
        </w:rPr>
        <w:t>.</w:t>
      </w:r>
    </w:p>
    <w:p w:rsidR="00023BF8" w:rsidRDefault="004450D1">
      <w:pPr>
        <w:pStyle w:val="ListParagraph"/>
        <w:numPr>
          <w:ilvl w:val="0"/>
          <w:numId w:val="6"/>
        </w:numPr>
        <w:spacing w:after="120"/>
        <w:ind w:left="360"/>
        <w:contextualSpacing w:val="0"/>
        <w:jc w:val="both"/>
      </w:pPr>
      <w:r>
        <w:t xml:space="preserve">Which cell reselection scenario should be addressed when clarifying the expected UE in RRC_INACTIVE reselect to a cell in which cannot comply with one of its configured features (i.e. </w:t>
      </w:r>
      <w:proofErr w:type="spellStart"/>
      <w:r>
        <w:t>eDRX</w:t>
      </w:r>
      <w:proofErr w:type="spellEnd"/>
      <w:r>
        <w:t xml:space="preserve"> or SDT)</w:t>
      </w:r>
      <w:proofErr w:type="gramStart"/>
      <w:r>
        <w:t>??</w:t>
      </w:r>
      <w:proofErr w:type="gramEnd"/>
    </w:p>
    <w:p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tc>
          <w:tcPr>
            <w:tcW w:w="1975" w:type="dxa"/>
            <w:shd w:val="clear" w:color="auto" w:fill="BFBFBF" w:themeFill="background1" w:themeFillShade="BF"/>
          </w:tcPr>
          <w:p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rsidR="00023BF8" w:rsidRDefault="004450D1">
            <w:pPr>
              <w:spacing w:after="0"/>
              <w:jc w:val="center"/>
              <w:rPr>
                <w:b/>
                <w:bCs/>
                <w:lang w:eastAsia="ja-JP"/>
              </w:rPr>
            </w:pPr>
            <w:r>
              <w:rPr>
                <w:b/>
                <w:bCs/>
                <w:lang w:eastAsia="ja-JP"/>
              </w:rPr>
              <w:t>Comments, if any</w:t>
            </w:r>
          </w:p>
        </w:tc>
      </w:tr>
      <w:tr w:rsidR="00023BF8">
        <w:tc>
          <w:tcPr>
            <w:tcW w:w="1975" w:type="dxa"/>
          </w:tcPr>
          <w:p w:rsidR="00023BF8" w:rsidRDefault="004450D1">
            <w:pPr>
              <w:spacing w:after="0"/>
              <w:rPr>
                <w:lang w:eastAsia="ja-JP"/>
              </w:rPr>
            </w:pPr>
            <w:proofErr w:type="spellStart"/>
            <w:r>
              <w:rPr>
                <w:lang w:eastAsia="ja-JP"/>
              </w:rPr>
              <w:t>MediaTek</w:t>
            </w:r>
            <w:proofErr w:type="spellEnd"/>
          </w:p>
        </w:tc>
        <w:tc>
          <w:tcPr>
            <w:tcW w:w="1530" w:type="dxa"/>
          </w:tcPr>
          <w:p w:rsidR="00023BF8" w:rsidRDefault="004450D1">
            <w:pPr>
              <w:spacing w:after="0"/>
              <w:rPr>
                <w:lang w:eastAsia="ja-JP"/>
              </w:rPr>
            </w:pPr>
            <w:r>
              <w:rPr>
                <w:lang w:eastAsia="ja-JP"/>
              </w:rPr>
              <w:t>Option 2)</w:t>
            </w:r>
          </w:p>
        </w:tc>
        <w:tc>
          <w:tcPr>
            <w:tcW w:w="5845" w:type="dxa"/>
          </w:tcPr>
          <w:p w:rsidR="00023BF8" w:rsidRDefault="00023BF8">
            <w:pPr>
              <w:spacing w:after="0"/>
              <w:rPr>
                <w:lang w:eastAsia="ja-JP"/>
              </w:rPr>
            </w:pPr>
          </w:p>
        </w:tc>
      </w:tr>
      <w:tr w:rsidR="00023BF8">
        <w:tc>
          <w:tcPr>
            <w:tcW w:w="1975" w:type="dxa"/>
          </w:tcPr>
          <w:p w:rsidR="00023BF8" w:rsidRDefault="004450D1">
            <w:pPr>
              <w:spacing w:after="0"/>
              <w:rPr>
                <w:lang w:eastAsia="zh-CN"/>
              </w:rPr>
            </w:pPr>
            <w:r>
              <w:rPr>
                <w:rFonts w:hint="eastAsia"/>
                <w:lang w:eastAsia="zh-CN"/>
              </w:rPr>
              <w:t>v</w:t>
            </w:r>
            <w:r>
              <w:rPr>
                <w:lang w:eastAsia="zh-CN"/>
              </w:rPr>
              <w:t>ivo</w:t>
            </w:r>
          </w:p>
        </w:tc>
        <w:tc>
          <w:tcPr>
            <w:tcW w:w="1530" w:type="dxa"/>
          </w:tcPr>
          <w:p w:rsidR="00023BF8" w:rsidRDefault="004450D1">
            <w:pPr>
              <w:spacing w:after="0"/>
              <w:rPr>
                <w:lang w:eastAsia="zh-CN"/>
              </w:rPr>
            </w:pPr>
            <w:r>
              <w:rPr>
                <w:lang w:eastAsia="zh-CN"/>
              </w:rPr>
              <w:t>Option 2)</w:t>
            </w:r>
          </w:p>
        </w:tc>
        <w:tc>
          <w:tcPr>
            <w:tcW w:w="5845" w:type="dxa"/>
          </w:tcPr>
          <w:p w:rsidR="00023BF8" w:rsidRDefault="004450D1">
            <w:pPr>
              <w:spacing w:after="0"/>
              <w:rPr>
                <w:lang w:eastAsia="zh-CN"/>
              </w:rPr>
            </w:pPr>
            <w:r>
              <w:rPr>
                <w:lang w:eastAsia="zh-CN"/>
              </w:rPr>
              <w:t>Both situations of UE supporting a given feature in TN but not in NTN and UE supporting a given feature in TN but</w:t>
            </w:r>
            <w:r>
              <w:rPr>
                <w:lang w:eastAsia="zh-CN"/>
              </w:rPr>
              <w:t xml:space="preserve"> not in NTN </w:t>
            </w:r>
            <w:proofErr w:type="gramStart"/>
            <w:r>
              <w:rPr>
                <w:lang w:eastAsia="zh-CN"/>
              </w:rPr>
              <w:t>should be addressed</w:t>
            </w:r>
            <w:proofErr w:type="gramEnd"/>
            <w:r>
              <w:rPr>
                <w:lang w:eastAsia="zh-CN"/>
              </w:rPr>
              <w:t>.</w:t>
            </w:r>
          </w:p>
        </w:tc>
      </w:tr>
      <w:tr w:rsidR="00023BF8">
        <w:tc>
          <w:tcPr>
            <w:tcW w:w="1975" w:type="dxa"/>
          </w:tcPr>
          <w:p w:rsidR="00023BF8" w:rsidRDefault="004450D1">
            <w:pPr>
              <w:spacing w:after="0"/>
              <w:rPr>
                <w:lang w:eastAsia="ja-JP"/>
              </w:rPr>
            </w:pPr>
            <w:r>
              <w:rPr>
                <w:lang w:eastAsia="ja-JP"/>
              </w:rPr>
              <w:t>Intel</w:t>
            </w:r>
          </w:p>
        </w:tc>
        <w:tc>
          <w:tcPr>
            <w:tcW w:w="1530" w:type="dxa"/>
          </w:tcPr>
          <w:p w:rsidR="00023BF8" w:rsidRDefault="004450D1">
            <w:pPr>
              <w:spacing w:after="0"/>
              <w:rPr>
                <w:lang w:eastAsia="ja-JP"/>
              </w:rPr>
            </w:pPr>
            <w:r>
              <w:rPr>
                <w:lang w:eastAsia="ja-JP"/>
              </w:rPr>
              <w:t>Option 2)</w:t>
            </w:r>
          </w:p>
        </w:tc>
        <w:tc>
          <w:tcPr>
            <w:tcW w:w="5845" w:type="dxa"/>
          </w:tcPr>
          <w:p w:rsidR="00023BF8" w:rsidRDefault="00023BF8">
            <w:pPr>
              <w:spacing w:after="0"/>
              <w:rPr>
                <w:lang w:eastAsia="ja-JP"/>
              </w:rPr>
            </w:pPr>
          </w:p>
        </w:tc>
      </w:tr>
      <w:tr w:rsidR="00023BF8">
        <w:tc>
          <w:tcPr>
            <w:tcW w:w="1975" w:type="dxa"/>
          </w:tcPr>
          <w:p w:rsidR="00023BF8" w:rsidRDefault="004450D1">
            <w:pPr>
              <w:spacing w:after="0"/>
              <w:rPr>
                <w:lang w:eastAsia="zh-CN"/>
              </w:rPr>
            </w:pPr>
            <w:r>
              <w:rPr>
                <w:rFonts w:hint="eastAsia"/>
                <w:lang w:eastAsia="zh-CN"/>
              </w:rPr>
              <w:t>O</w:t>
            </w:r>
            <w:r>
              <w:rPr>
                <w:lang w:eastAsia="zh-CN"/>
              </w:rPr>
              <w:t>PPO</w:t>
            </w:r>
          </w:p>
        </w:tc>
        <w:tc>
          <w:tcPr>
            <w:tcW w:w="1530" w:type="dxa"/>
          </w:tcPr>
          <w:p w:rsidR="00023BF8" w:rsidRDefault="004450D1">
            <w:pPr>
              <w:spacing w:after="0"/>
              <w:rPr>
                <w:lang w:eastAsia="zh-CN"/>
              </w:rPr>
            </w:pPr>
            <w:r>
              <w:rPr>
                <w:rFonts w:hint="eastAsia"/>
                <w:lang w:eastAsia="zh-CN"/>
              </w:rPr>
              <w:t>O</w:t>
            </w:r>
            <w:r>
              <w:rPr>
                <w:lang w:eastAsia="zh-CN"/>
              </w:rPr>
              <w:t>ption 2)</w:t>
            </w:r>
          </w:p>
        </w:tc>
        <w:tc>
          <w:tcPr>
            <w:tcW w:w="5845" w:type="dxa"/>
          </w:tcPr>
          <w:p w:rsidR="00023BF8" w:rsidRDefault="00023BF8">
            <w:pPr>
              <w:spacing w:after="0"/>
              <w:rPr>
                <w:lang w:val="en-GB" w:eastAsia="ja-JP"/>
              </w:rPr>
            </w:pPr>
          </w:p>
        </w:tc>
      </w:tr>
      <w:tr w:rsidR="00023BF8">
        <w:tc>
          <w:tcPr>
            <w:tcW w:w="1975" w:type="dxa"/>
          </w:tcPr>
          <w:p w:rsidR="00023BF8" w:rsidRDefault="004450D1">
            <w:pPr>
              <w:spacing w:after="0"/>
              <w:rPr>
                <w:lang w:eastAsia="zh-CN"/>
              </w:rPr>
            </w:pPr>
            <w:r>
              <w:rPr>
                <w:rFonts w:hint="eastAsia"/>
                <w:lang w:eastAsia="zh-CN"/>
              </w:rPr>
              <w:t>X</w:t>
            </w:r>
            <w:r>
              <w:rPr>
                <w:lang w:eastAsia="zh-CN"/>
              </w:rPr>
              <w:t>iaomi</w:t>
            </w:r>
          </w:p>
        </w:tc>
        <w:tc>
          <w:tcPr>
            <w:tcW w:w="1530" w:type="dxa"/>
          </w:tcPr>
          <w:p w:rsidR="00023BF8" w:rsidRDefault="004450D1">
            <w:pPr>
              <w:spacing w:after="0"/>
              <w:rPr>
                <w:lang w:eastAsia="zh-CN"/>
              </w:rPr>
            </w:pPr>
            <w:r>
              <w:rPr>
                <w:rFonts w:hint="eastAsia"/>
                <w:lang w:eastAsia="zh-CN"/>
              </w:rPr>
              <w:t>O</w:t>
            </w:r>
            <w:r>
              <w:rPr>
                <w:lang w:eastAsia="zh-CN"/>
              </w:rPr>
              <w:t>ption 2</w:t>
            </w: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530" w:type="dxa"/>
          </w:tcPr>
          <w:p w:rsidR="00023BF8" w:rsidRDefault="00023BF8">
            <w:pPr>
              <w:spacing w:after="0"/>
              <w:rPr>
                <w:lang w:eastAsia="ja-JP"/>
              </w:rPr>
            </w:pPr>
          </w:p>
        </w:tc>
        <w:tc>
          <w:tcPr>
            <w:tcW w:w="5845" w:type="dxa"/>
          </w:tcPr>
          <w:p w:rsidR="00023BF8" w:rsidRDefault="00023BF8">
            <w:pPr>
              <w:spacing w:after="0"/>
              <w:rPr>
                <w:lang w:val="en-GB" w:eastAsia="ja-JP"/>
              </w:rPr>
            </w:pPr>
          </w:p>
        </w:tc>
      </w:tr>
    </w:tbl>
    <w:p w:rsidR="00023BF8" w:rsidRDefault="00023BF8"/>
    <w:p w:rsidR="00023BF8" w:rsidRDefault="004450D1">
      <w:pPr>
        <w:pStyle w:val="Heading3"/>
      </w:pPr>
      <w:r>
        <w:t>Preferred approach of TP</w:t>
      </w:r>
    </w:p>
    <w:p w:rsidR="00023BF8" w:rsidRDefault="004450D1">
      <w:pPr>
        <w:pStyle w:val="ListParagraph"/>
        <w:numPr>
          <w:ilvl w:val="0"/>
          <w:numId w:val="6"/>
        </w:numPr>
        <w:spacing w:after="120"/>
        <w:ind w:left="360"/>
        <w:contextualSpacing w:val="0"/>
        <w:jc w:val="both"/>
      </w:pPr>
      <w:r>
        <w:t xml:space="preserve">Which approach of TP is preferable to address current issue (note the actual TP itself </w:t>
      </w:r>
      <w:proofErr w:type="gramStart"/>
      <w:r>
        <w:t>will be based</w:t>
      </w:r>
      <w:proofErr w:type="gramEnd"/>
      <w:r>
        <w:t xml:space="preserve"> on the </w:t>
      </w:r>
      <w:r>
        <w:t>agreements to the previous questions)?</w:t>
      </w:r>
    </w:p>
    <w:p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w:t>
      </w:r>
      <w:proofErr w:type="gramStart"/>
      <w:r>
        <w:rPr>
          <w:lang w:val="en-GB"/>
        </w:rPr>
        <w:t>4</w:t>
      </w:r>
      <w:proofErr w:type="gramEnd"/>
      <w:r>
        <w:rPr>
          <w:lang w:val="en-GB"/>
        </w:rPr>
        <w:t>]</w:t>
      </w:r>
      <w:r>
        <w:rPr>
          <w:lang w:val="en-GB"/>
        </w:rPr>
        <w:fldChar w:fldCharType="end"/>
      </w:r>
      <w:r>
        <w:rPr>
          <w:lang w:val="en-GB"/>
        </w:rPr>
        <w:t>.</w:t>
      </w:r>
    </w:p>
    <w:p w:rsidR="00023BF8" w:rsidRDefault="004450D1">
      <w:pPr>
        <w:spacing w:after="120"/>
        <w:ind w:left="720"/>
        <w:rPr>
          <w:b/>
          <w:bCs/>
          <w:lang w:eastAsia="ja-JP"/>
        </w:rPr>
      </w:pPr>
      <w:bookmarkStart w:id="11" w:name="_Toc131064369"/>
      <w:r>
        <w:rPr>
          <w:b/>
          <w:bCs/>
          <w:lang w:eastAsia="ja-JP"/>
        </w:rPr>
        <w:t>5.2.2.4.21</w:t>
      </w:r>
      <w:r>
        <w:rPr>
          <w:b/>
          <w:bCs/>
          <w:lang w:eastAsia="ja-JP"/>
        </w:rPr>
        <w:tab/>
        <w:t xml:space="preserve">Actions upon reception of </w:t>
      </w:r>
      <w:r>
        <w:rPr>
          <w:b/>
          <w:bCs/>
          <w:i/>
          <w:iCs/>
          <w:lang w:eastAsia="ja-JP"/>
        </w:rPr>
        <w:t>SIB19</w:t>
      </w:r>
      <w:bookmarkEnd w:id="11"/>
    </w:p>
    <w:p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w:t>
      </w:r>
      <w:r>
        <w:rPr>
          <w:rFonts w:eastAsia="Times New Roman"/>
          <w:strike/>
          <w:color w:val="FF0000"/>
          <w:lang w:eastAsia="ja-JP"/>
        </w:rPr>
        <w:t xml:space="preserve"> RRC_CONNECTED</w:t>
      </w:r>
      <w:r>
        <w:rPr>
          <w:rFonts w:eastAsia="Times New Roman"/>
          <w:color w:val="FF0000"/>
          <w:lang w:eastAsia="ja-JP"/>
        </w:rPr>
        <w:t xml:space="preserve"> </w:t>
      </w:r>
      <w:r>
        <w:rPr>
          <w:rFonts w:eastAsia="Times New Roman"/>
          <w:lang w:eastAsia="ja-JP"/>
        </w:rPr>
        <w:t>shall:</w:t>
      </w:r>
    </w:p>
    <w:p w:rsidR="00023BF8" w:rsidRDefault="004450D1">
      <w:pPr>
        <w:spacing w:after="120"/>
        <w:ind w:left="1288" w:hanging="284"/>
        <w:textAlignment w:val="baseline"/>
        <w:rPr>
          <w:rFonts w:eastAsia="Times New Roman"/>
          <w:color w:val="FF0000"/>
          <w:u w:val="single"/>
          <w:lang w:eastAsia="ja-JP"/>
        </w:rPr>
      </w:pPr>
      <w:r>
        <w:rPr>
          <w:rFonts w:eastAsia="Times New Roman"/>
          <w:lang w:eastAsia="ja-JP"/>
        </w:rPr>
        <w:t>1&gt;</w:t>
      </w:r>
      <w:r>
        <w:rPr>
          <w:rFonts w:eastAsia="Times New Roman"/>
          <w:color w:val="FF0000"/>
          <w:u w:val="single"/>
          <w:lang w:eastAsia="ja-JP"/>
        </w:rPr>
        <w:tab/>
        <w:t>if in RRC_CONNECTED</w:t>
      </w:r>
    </w:p>
    <w:p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proofErr w:type="spellStart"/>
      <w:r>
        <w:rPr>
          <w:i/>
          <w:iCs/>
          <w:lang w:eastAsia="ja-JP"/>
        </w:rPr>
        <w:t>ntn-UlSyncValidityDuration</w:t>
      </w:r>
      <w:proofErr w:type="spellEnd"/>
      <w:r>
        <w:rPr>
          <w:lang w:eastAsia="ja-JP"/>
        </w:rPr>
        <w:t xml:space="preserve"> for the serving cell from the </w:t>
      </w:r>
      <w:proofErr w:type="spellStart"/>
      <w:r>
        <w:rPr>
          <w:lang w:eastAsia="ja-JP"/>
        </w:rPr>
        <w:t>subframe</w:t>
      </w:r>
      <w:proofErr w:type="spellEnd"/>
      <w:r>
        <w:rPr>
          <w:lang w:eastAsia="ja-JP"/>
        </w:rPr>
        <w:t xml:space="preserve"> indicated by </w:t>
      </w:r>
      <w:proofErr w:type="spellStart"/>
      <w:r>
        <w:rPr>
          <w:i/>
          <w:iCs/>
          <w:lang w:eastAsia="ja-JP"/>
        </w:rPr>
        <w:t>epochTime</w:t>
      </w:r>
      <w:proofErr w:type="spellEnd"/>
      <w:r>
        <w:rPr>
          <w:i/>
          <w:iCs/>
          <w:lang w:eastAsia="ja-JP"/>
        </w:rPr>
        <w:t xml:space="preserve"> </w:t>
      </w:r>
      <w:r>
        <w:rPr>
          <w:lang w:eastAsia="ja-JP"/>
        </w:rPr>
        <w:t>for the serving cell;</w:t>
      </w:r>
    </w:p>
    <w:p w:rsidR="00023BF8" w:rsidRDefault="004450D1">
      <w:pPr>
        <w:pStyle w:val="B1"/>
        <w:spacing w:after="120"/>
        <w:ind w:left="1288"/>
        <w:rPr>
          <w:color w:val="FF0000"/>
          <w:u w:val="single"/>
          <w:lang w:eastAsia="ja-JP"/>
        </w:rPr>
      </w:pPr>
      <w:r>
        <w:rPr>
          <w:color w:val="FF0000"/>
          <w:u w:val="single"/>
          <w:lang w:eastAsia="ja-JP"/>
        </w:rPr>
        <w:t>1&gt; if in RRC_INACTIVE</w:t>
      </w:r>
    </w:p>
    <w:p w:rsidR="00023BF8" w:rsidRDefault="004450D1">
      <w:pPr>
        <w:pStyle w:val="B2"/>
        <w:spacing w:after="120"/>
        <w:ind w:left="1571"/>
        <w:rPr>
          <w:color w:val="FF0000"/>
          <w:u w:val="single"/>
          <w:lang w:eastAsia="ja-JP"/>
        </w:rPr>
      </w:pPr>
      <w:r>
        <w:rPr>
          <w:color w:val="FF0000"/>
          <w:u w:val="single"/>
          <w:lang w:eastAsia="ja-JP"/>
        </w:rPr>
        <w:t xml:space="preserve">2&gt; if </w:t>
      </w:r>
      <w:proofErr w:type="spellStart"/>
      <w:r>
        <w:rPr>
          <w:i/>
          <w:iCs/>
          <w:color w:val="FF0000"/>
          <w:u w:val="single"/>
          <w:lang w:eastAsia="ja-JP"/>
        </w:rPr>
        <w:t>ra</w:t>
      </w:r>
      <w:proofErr w:type="spellEnd"/>
      <w:r>
        <w:rPr>
          <w:i/>
          <w:iCs/>
          <w:color w:val="FF0000"/>
          <w:u w:val="single"/>
          <w:lang w:eastAsia="ja-JP"/>
        </w:rPr>
        <w:t>-SDT-NTN</w:t>
      </w:r>
      <w:r>
        <w:rPr>
          <w:color w:val="FF0000"/>
          <w:u w:val="single"/>
          <w:lang w:eastAsia="ja-JP"/>
        </w:rPr>
        <w:t xml:space="preserve"> or </w:t>
      </w:r>
      <w:proofErr w:type="spellStart"/>
      <w:r>
        <w:rPr>
          <w:i/>
          <w:iCs/>
          <w:color w:val="FF0000"/>
          <w:u w:val="single"/>
          <w:lang w:eastAsia="ja-JP"/>
        </w:rPr>
        <w:t>srb</w:t>
      </w:r>
      <w:proofErr w:type="spellEnd"/>
      <w:r>
        <w:rPr>
          <w:i/>
          <w:iCs/>
          <w:color w:val="FF0000"/>
          <w:u w:val="single"/>
          <w:lang w:eastAsia="ja-JP"/>
        </w:rPr>
        <w:t>-SDT-NTN</w:t>
      </w:r>
      <w:r>
        <w:rPr>
          <w:color w:val="FF0000"/>
          <w:u w:val="single"/>
          <w:lang w:eastAsia="ja-JP"/>
        </w:rPr>
        <w:t xml:space="preserve"> is not supported</w:t>
      </w:r>
    </w:p>
    <w:p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rsidR="00023BF8" w:rsidRDefault="004450D1">
      <w:pPr>
        <w:pStyle w:val="ListParagraph"/>
        <w:numPr>
          <w:ilvl w:val="0"/>
          <w:numId w:val="9"/>
        </w:numPr>
        <w:spacing w:after="120"/>
        <w:ind w:left="1166" w:hanging="806"/>
        <w:contextualSpacing w:val="0"/>
      </w:pPr>
      <w:r>
        <w:t xml:space="preserve">  Adding a new section that explains UE </w:t>
      </w:r>
      <w:proofErr w:type="spellStart"/>
      <w:r>
        <w:t>behaviour</w:t>
      </w:r>
      <w:proofErr w:type="spellEnd"/>
      <w:r>
        <w:t xml:space="preserve">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rsidR="00023BF8" w:rsidRDefault="004450D1">
      <w:pPr>
        <w:pStyle w:val="ListParagraph"/>
        <w:spacing w:after="120"/>
        <w:contextualSpacing w:val="0"/>
        <w:jc w:val="both"/>
        <w:rPr>
          <w:b/>
          <w:bCs/>
          <w:color w:val="FF0000"/>
          <w:u w:val="single"/>
          <w:lang w:val="en-GB" w:eastAsia="zh-CN"/>
        </w:rPr>
      </w:pPr>
      <w:proofErr w:type="spellStart"/>
      <w:proofErr w:type="gramStart"/>
      <w:r>
        <w:rPr>
          <w:b/>
          <w:bCs/>
          <w:color w:val="FF0000"/>
          <w:u w:val="single"/>
          <w:lang w:val="en-GB" w:eastAsia="zh-CN"/>
        </w:rPr>
        <w:t>x.y.z</w:t>
      </w:r>
      <w:proofErr w:type="spellEnd"/>
      <w:proofErr w:type="gramEnd"/>
      <w:r>
        <w:rPr>
          <w:b/>
          <w:bCs/>
          <w:color w:val="FF0000"/>
          <w:u w:val="single"/>
          <w:lang w:val="en-GB" w:eastAsia="zh-CN"/>
        </w:rPr>
        <w:t xml:space="preserve"> Inability to comply with a configuration available in RRC_INACTIVE</w:t>
      </w:r>
    </w:p>
    <w:p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rsidR="00023BF8" w:rsidRDefault="004450D1">
      <w:pPr>
        <w:pStyle w:val="ListParagraph"/>
        <w:spacing w:after="120"/>
        <w:ind w:left="1350" w:hanging="270"/>
        <w:contextualSpacing w:val="0"/>
        <w:jc w:val="both"/>
        <w:rPr>
          <w:color w:val="FF0000"/>
          <w:u w:val="single"/>
          <w:lang w:val="en-GB" w:eastAsia="zh-CN"/>
        </w:rPr>
      </w:pPr>
      <w:r>
        <w:rPr>
          <w:color w:val="FF0000"/>
          <w:u w:val="single"/>
          <w:lang w:val="en-GB" w:eastAsia="zh-CN"/>
        </w:rPr>
        <w:t>1&gt;</w:t>
      </w:r>
      <w:r>
        <w:rPr>
          <w:color w:val="FF0000"/>
          <w:u w:val="single"/>
          <w:lang w:val="en-GB" w:eastAsia="zh-CN"/>
        </w:rPr>
        <w:tab/>
        <w:t>if the UE in RRC_I</w:t>
      </w:r>
      <w:r>
        <w:rPr>
          <w:color w:val="FF0000"/>
          <w:u w:val="single"/>
          <w:lang w:val="en-GB" w:eastAsia="zh-CN"/>
        </w:rPr>
        <w:t>NACTIVE is unable to comply with a configuration available or stored due to any un-supported feature in current cell upon cell reselection between TN and NTN;</w:t>
      </w:r>
    </w:p>
    <w:p w:rsidR="00023BF8" w:rsidRDefault="004450D1">
      <w:pPr>
        <w:pStyle w:val="ListParagraph"/>
        <w:spacing w:after="240"/>
        <w:ind w:left="1541" w:hanging="274"/>
        <w:contextualSpacing w:val="0"/>
        <w:jc w:val="both"/>
        <w:rPr>
          <w:color w:val="FF0000"/>
          <w:u w:val="single"/>
          <w:lang w:val="en-GB" w:eastAsia="zh-CN"/>
        </w:rPr>
      </w:pPr>
      <w:proofErr w:type="gramStart"/>
      <w:r>
        <w:rPr>
          <w:color w:val="FF0000"/>
          <w:u w:val="single"/>
          <w:lang w:val="en-GB" w:eastAsia="zh-CN"/>
        </w:rPr>
        <w:t>2</w:t>
      </w:r>
      <w:proofErr w:type="gramEnd"/>
      <w:r>
        <w:rPr>
          <w:color w:val="FF0000"/>
          <w:u w:val="single"/>
          <w:lang w:val="en-GB" w:eastAsia="zh-CN"/>
        </w:rPr>
        <w:t xml:space="preserve">&gt; the corresponding configuration is ignored (i.e., is considered as not configured) in current </w:t>
      </w:r>
      <w:r>
        <w:rPr>
          <w:color w:val="FF0000"/>
          <w:u w:val="single"/>
          <w:lang w:val="en-GB" w:eastAsia="zh-CN"/>
        </w:rPr>
        <w:t>cell.</w:t>
      </w:r>
    </w:p>
    <w:p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tc>
          <w:tcPr>
            <w:tcW w:w="1975" w:type="dxa"/>
            <w:shd w:val="clear" w:color="auto" w:fill="BFBFBF" w:themeFill="background1" w:themeFillShade="BF"/>
          </w:tcPr>
          <w:p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rsidR="00023BF8" w:rsidRDefault="004450D1">
            <w:pPr>
              <w:spacing w:after="0"/>
              <w:jc w:val="center"/>
              <w:rPr>
                <w:b/>
                <w:bCs/>
                <w:lang w:eastAsia="ja-JP"/>
              </w:rPr>
            </w:pPr>
            <w:r>
              <w:rPr>
                <w:b/>
                <w:bCs/>
                <w:lang w:eastAsia="ja-JP"/>
              </w:rPr>
              <w:t>Comments, if any</w:t>
            </w:r>
          </w:p>
        </w:tc>
      </w:tr>
      <w:tr w:rsidR="00023BF8">
        <w:tc>
          <w:tcPr>
            <w:tcW w:w="1975" w:type="dxa"/>
          </w:tcPr>
          <w:p w:rsidR="00023BF8" w:rsidRDefault="004450D1">
            <w:pPr>
              <w:spacing w:after="0"/>
              <w:rPr>
                <w:lang w:eastAsia="ja-JP"/>
              </w:rPr>
            </w:pPr>
            <w:proofErr w:type="spellStart"/>
            <w:r>
              <w:rPr>
                <w:lang w:eastAsia="ja-JP"/>
              </w:rPr>
              <w:t>MediaTek</w:t>
            </w:r>
            <w:proofErr w:type="spellEnd"/>
          </w:p>
        </w:tc>
        <w:tc>
          <w:tcPr>
            <w:tcW w:w="1170" w:type="dxa"/>
          </w:tcPr>
          <w:p w:rsidR="00023BF8" w:rsidRDefault="004450D1">
            <w:pPr>
              <w:spacing w:after="0"/>
              <w:rPr>
                <w:lang w:eastAsia="ja-JP"/>
              </w:rPr>
            </w:pPr>
            <w:r>
              <w:rPr>
                <w:lang w:eastAsia="ja-JP"/>
              </w:rPr>
              <w:t>Approach 1</w:t>
            </w:r>
          </w:p>
        </w:tc>
        <w:tc>
          <w:tcPr>
            <w:tcW w:w="6205" w:type="dxa"/>
          </w:tcPr>
          <w:p w:rsidR="00023BF8" w:rsidRDefault="00023BF8">
            <w:pPr>
              <w:spacing w:after="0"/>
              <w:rPr>
                <w:lang w:eastAsia="ja-JP"/>
              </w:rPr>
            </w:pPr>
          </w:p>
        </w:tc>
      </w:tr>
      <w:tr w:rsidR="00023BF8">
        <w:tc>
          <w:tcPr>
            <w:tcW w:w="1975" w:type="dxa"/>
          </w:tcPr>
          <w:p w:rsidR="00023BF8" w:rsidRDefault="004450D1">
            <w:pPr>
              <w:spacing w:after="0"/>
              <w:rPr>
                <w:lang w:eastAsia="ja-JP"/>
              </w:rPr>
            </w:pPr>
            <w:r>
              <w:rPr>
                <w:lang w:eastAsia="ja-JP"/>
              </w:rPr>
              <w:t>Vodafone</w:t>
            </w:r>
          </w:p>
        </w:tc>
        <w:tc>
          <w:tcPr>
            <w:tcW w:w="1170" w:type="dxa"/>
          </w:tcPr>
          <w:p w:rsidR="00023BF8" w:rsidRDefault="004450D1">
            <w:pPr>
              <w:spacing w:after="0"/>
              <w:rPr>
                <w:lang w:eastAsia="ja-JP"/>
              </w:rPr>
            </w:pPr>
            <w:r>
              <w:rPr>
                <w:lang w:eastAsia="ja-JP"/>
              </w:rPr>
              <w:t>Approach 1</w:t>
            </w:r>
          </w:p>
        </w:tc>
        <w:tc>
          <w:tcPr>
            <w:tcW w:w="6205" w:type="dxa"/>
          </w:tcPr>
          <w:p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tc>
          <w:tcPr>
            <w:tcW w:w="1975" w:type="dxa"/>
          </w:tcPr>
          <w:p w:rsidR="00023BF8" w:rsidRDefault="004450D1">
            <w:pPr>
              <w:spacing w:after="0"/>
              <w:rPr>
                <w:lang w:eastAsia="zh-CN"/>
              </w:rPr>
            </w:pPr>
            <w:r>
              <w:rPr>
                <w:rFonts w:hint="eastAsia"/>
                <w:lang w:eastAsia="zh-CN"/>
              </w:rPr>
              <w:t>v</w:t>
            </w:r>
            <w:r>
              <w:rPr>
                <w:lang w:eastAsia="zh-CN"/>
              </w:rPr>
              <w:t>ivo</w:t>
            </w:r>
          </w:p>
        </w:tc>
        <w:tc>
          <w:tcPr>
            <w:tcW w:w="1170" w:type="dxa"/>
          </w:tcPr>
          <w:p w:rsidR="00023BF8" w:rsidRDefault="004450D1">
            <w:pPr>
              <w:spacing w:after="0"/>
              <w:rPr>
                <w:lang w:eastAsia="zh-CN"/>
              </w:rPr>
            </w:pPr>
            <w:r>
              <w:rPr>
                <w:rFonts w:hint="eastAsia"/>
                <w:lang w:eastAsia="zh-CN"/>
              </w:rPr>
              <w:t>A</w:t>
            </w:r>
            <w:r>
              <w:rPr>
                <w:lang w:eastAsia="zh-CN"/>
              </w:rPr>
              <w:t>pproach 2)</w:t>
            </w:r>
          </w:p>
        </w:tc>
        <w:tc>
          <w:tcPr>
            <w:tcW w:w="6205" w:type="dxa"/>
          </w:tcPr>
          <w:p w:rsidR="00023BF8" w:rsidRDefault="004450D1">
            <w:pPr>
              <w:spacing w:after="0"/>
              <w:rPr>
                <w:lang w:eastAsia="zh-CN"/>
              </w:rPr>
            </w:pPr>
            <w:proofErr w:type="gramStart"/>
            <w:r>
              <w:rPr>
                <w:lang w:eastAsia="zh-CN"/>
              </w:rPr>
              <w:t>The solution should not be limited to a feature</w:t>
            </w:r>
            <w:proofErr w:type="gramEnd"/>
            <w:r>
              <w:rPr>
                <w:lang w:eastAsia="zh-CN"/>
              </w:rPr>
              <w:t xml:space="preserve">, </w:t>
            </w:r>
            <w:proofErr w:type="gramStart"/>
            <w:r>
              <w:rPr>
                <w:lang w:eastAsia="zh-CN"/>
              </w:rPr>
              <w:t>a general text is preferred</w:t>
            </w:r>
            <w:proofErr w:type="gramEnd"/>
            <w:r>
              <w:rPr>
                <w:lang w:eastAsia="zh-CN"/>
              </w:rPr>
              <w:t>.</w:t>
            </w:r>
          </w:p>
        </w:tc>
      </w:tr>
      <w:tr w:rsidR="00023BF8">
        <w:tc>
          <w:tcPr>
            <w:tcW w:w="1975" w:type="dxa"/>
          </w:tcPr>
          <w:p w:rsidR="00023BF8" w:rsidRDefault="004450D1">
            <w:pPr>
              <w:spacing w:after="0"/>
              <w:rPr>
                <w:lang w:eastAsia="ja-JP"/>
              </w:rPr>
            </w:pPr>
            <w:r>
              <w:rPr>
                <w:lang w:eastAsia="ja-JP"/>
              </w:rPr>
              <w:t>Intel</w:t>
            </w:r>
          </w:p>
        </w:tc>
        <w:tc>
          <w:tcPr>
            <w:tcW w:w="1170" w:type="dxa"/>
          </w:tcPr>
          <w:p w:rsidR="00023BF8" w:rsidRDefault="004450D1">
            <w:pPr>
              <w:spacing w:after="0"/>
              <w:rPr>
                <w:lang w:eastAsia="ja-JP"/>
              </w:rPr>
            </w:pPr>
            <w:r>
              <w:rPr>
                <w:lang w:eastAsia="ja-JP"/>
              </w:rPr>
              <w:t>Approach 2</w:t>
            </w:r>
          </w:p>
        </w:tc>
        <w:tc>
          <w:tcPr>
            <w:tcW w:w="6205" w:type="dxa"/>
          </w:tcPr>
          <w:p w:rsidR="00023BF8" w:rsidRDefault="004450D1">
            <w:pPr>
              <w:spacing w:after="0"/>
              <w:rPr>
                <w:lang w:val="en-GB" w:eastAsia="ja-JP"/>
              </w:rPr>
            </w:pPr>
            <w:r>
              <w:rPr>
                <w:lang w:val="en-GB" w:eastAsia="ja-JP"/>
              </w:rPr>
              <w:t xml:space="preserve">We understand that approach 1 have few drawbacks which make it not preferable: </w:t>
            </w:r>
          </w:p>
          <w:p w:rsidR="00023BF8" w:rsidRDefault="004450D1">
            <w:pPr>
              <w:pStyle w:val="ListParagraph"/>
              <w:numPr>
                <w:ilvl w:val="0"/>
                <w:numId w:val="10"/>
              </w:numPr>
              <w:spacing w:after="0"/>
              <w:rPr>
                <w:lang w:val="en-GB" w:eastAsia="ja-JP"/>
              </w:rPr>
            </w:pPr>
            <w:r>
              <w:rPr>
                <w:lang w:val="en-GB" w:eastAsia="ja-JP"/>
              </w:rPr>
              <w:t xml:space="preserve">a) </w:t>
            </w:r>
            <w:proofErr w:type="gramStart"/>
            <w:r>
              <w:rPr>
                <w:lang w:val="en-GB" w:eastAsia="ja-JP"/>
              </w:rPr>
              <w:t>it</w:t>
            </w:r>
            <w:proofErr w:type="gramEnd"/>
            <w:r>
              <w:rPr>
                <w:lang w:val="en-GB" w:eastAsia="ja-JP"/>
              </w:rPr>
              <w:t xml:space="preserve"> only covers the scenario when UE reselect from TN to NTN (i.e., similar section would also need to be created to cover reselection from NTN to TN in othe</w:t>
            </w:r>
            <w:r>
              <w:rPr>
                <w:lang w:val="en-GB" w:eastAsia="ja-JP"/>
              </w:rPr>
              <w:t>r section) to a SIB that is only received in NTN.</w:t>
            </w:r>
          </w:p>
          <w:p w:rsidR="00023BF8" w:rsidRDefault="004450D1">
            <w:pPr>
              <w:pStyle w:val="ListParagraph"/>
              <w:numPr>
                <w:ilvl w:val="0"/>
                <w:numId w:val="10"/>
              </w:numPr>
              <w:spacing w:after="0"/>
              <w:rPr>
                <w:lang w:val="en-GB" w:eastAsia="ja-JP"/>
              </w:rPr>
            </w:pPr>
            <w:r>
              <w:rPr>
                <w:lang w:val="en-GB" w:eastAsia="ja-JP"/>
              </w:rPr>
              <w:t xml:space="preserve">b) </w:t>
            </w:r>
            <w:proofErr w:type="gramStart"/>
            <w:r>
              <w:rPr>
                <w:lang w:val="en-GB" w:eastAsia="ja-JP"/>
              </w:rPr>
              <w:t>we</w:t>
            </w:r>
            <w:proofErr w:type="gramEnd"/>
            <w:r>
              <w:rPr>
                <w:lang w:val="en-GB" w:eastAsia="ja-JP"/>
              </w:rPr>
              <w:t xml:space="preserve"> will need to add each of the features that is impacted. For Rel-17, this involves RA-SDT, SRB-SDT and </w:t>
            </w:r>
            <w:proofErr w:type="spellStart"/>
            <w:r>
              <w:rPr>
                <w:lang w:val="en-GB" w:eastAsia="ja-JP"/>
              </w:rPr>
              <w:t>eDRX</w:t>
            </w:r>
            <w:proofErr w:type="spellEnd"/>
            <w:r>
              <w:rPr>
                <w:lang w:val="en-GB" w:eastAsia="ja-JP"/>
              </w:rPr>
              <w:t xml:space="preserve">, and in </w:t>
            </w:r>
            <w:proofErr w:type="gramStart"/>
            <w:r>
              <w:rPr>
                <w:lang w:val="en-GB" w:eastAsia="ja-JP"/>
              </w:rPr>
              <w:t>future</w:t>
            </w:r>
            <w:proofErr w:type="gramEnd"/>
            <w:r>
              <w:rPr>
                <w:lang w:val="en-GB" w:eastAsia="ja-JP"/>
              </w:rPr>
              <w:t xml:space="preserve"> other features might also need to be added.</w:t>
            </w:r>
          </w:p>
          <w:p w:rsidR="00023BF8" w:rsidRDefault="004450D1">
            <w:pPr>
              <w:pStyle w:val="ListParagraph"/>
              <w:numPr>
                <w:ilvl w:val="0"/>
                <w:numId w:val="10"/>
              </w:numPr>
              <w:spacing w:after="0"/>
              <w:rPr>
                <w:lang w:val="en-GB" w:eastAsia="ja-JP"/>
              </w:rPr>
            </w:pPr>
            <w:r>
              <w:rPr>
                <w:lang w:val="en-GB" w:eastAsia="ja-JP"/>
              </w:rPr>
              <w:t xml:space="preserve">c) </w:t>
            </w:r>
            <w:proofErr w:type="gramStart"/>
            <w:r>
              <w:rPr>
                <w:lang w:val="en-GB" w:eastAsia="ja-JP"/>
              </w:rPr>
              <w:t>it</w:t>
            </w:r>
            <w:proofErr w:type="gramEnd"/>
            <w:r>
              <w:rPr>
                <w:lang w:val="en-GB" w:eastAsia="ja-JP"/>
              </w:rPr>
              <w:t xml:space="preserve"> hides the fact that we are a</w:t>
            </w:r>
            <w:r>
              <w:rPr>
                <w:lang w:val="en-GB" w:eastAsia="ja-JP"/>
              </w:rPr>
              <w:t>llowing the network to provide a configuration for RRC_INACTIVE that is valid in current cell but becomes invalid when reselecting to other kind of network.</w:t>
            </w:r>
          </w:p>
          <w:p w:rsidR="00023BF8" w:rsidRDefault="004450D1">
            <w:pPr>
              <w:pStyle w:val="ListParagraph"/>
              <w:numPr>
                <w:ilvl w:val="0"/>
                <w:numId w:val="10"/>
              </w:numPr>
              <w:spacing w:after="0"/>
              <w:rPr>
                <w:lang w:val="en-GB" w:eastAsia="ja-JP"/>
              </w:rPr>
            </w:pPr>
            <w:r>
              <w:rPr>
                <w:lang w:val="en-GB" w:eastAsia="ja-JP"/>
              </w:rPr>
              <w:t xml:space="preserve">d) </w:t>
            </w:r>
            <w:proofErr w:type="gramStart"/>
            <w:r>
              <w:rPr>
                <w:lang w:val="en-GB" w:eastAsia="ja-JP"/>
              </w:rPr>
              <w:t>there</w:t>
            </w:r>
            <w:proofErr w:type="gramEnd"/>
            <w:r>
              <w:rPr>
                <w:lang w:val="en-GB" w:eastAsia="ja-JP"/>
              </w:rPr>
              <w:t xml:space="preserve"> are already discussions to reuse SIB19 for non-NTN cases (ATG), R2-2302438, and hence it m</w:t>
            </w:r>
            <w:r>
              <w:rPr>
                <w:lang w:val="en-GB" w:eastAsia="ja-JP"/>
              </w:rPr>
              <w:t>ay not be a reliable indication of reselection between TN and NTN.</w:t>
            </w:r>
          </w:p>
          <w:p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w:t>
            </w:r>
            <w:r>
              <w:rPr>
                <w:lang w:val="en-GB" w:eastAsia="ja-JP"/>
              </w:rPr>
              <w:t xml:space="preserve">section that explains “Inability to comply with a configuration available in RRC_INACTIVE” could also be included in any of the following sections: </w:t>
            </w:r>
            <w:r>
              <w:rPr>
                <w:lang w:eastAsia="ja-JP"/>
              </w:rPr>
              <w:t>§5.2.2 System information acquisition, §5.3.8 RRC release, §5.3.13 RRC connection resume, or §5.6 UE capabil</w:t>
            </w:r>
            <w:r>
              <w:rPr>
                <w:lang w:eastAsia="ja-JP"/>
              </w:rPr>
              <w:t xml:space="preserve">ities. We have slightly preference to include this new section as part §5.3.8 RRC release as the </w:t>
            </w:r>
            <w:proofErr w:type="spellStart"/>
            <w:r>
              <w:rPr>
                <w:i/>
                <w:iCs/>
                <w:lang w:eastAsia="ja-JP"/>
              </w:rPr>
              <w:t>RRCRelease</w:t>
            </w:r>
            <w:proofErr w:type="spellEnd"/>
            <w:r>
              <w:rPr>
                <w:lang w:eastAsia="ja-JP"/>
              </w:rPr>
              <w:t xml:space="preserve"> message is the one that conveys the actual configurations used in RRC_INACTIVE that later became invalid in the new cell</w:t>
            </w:r>
            <w:r>
              <w:rPr>
                <w:lang w:val="en-GB" w:eastAsia="ja-JP"/>
              </w:rPr>
              <w:t>.</w:t>
            </w:r>
          </w:p>
        </w:tc>
      </w:tr>
      <w:tr w:rsidR="00023BF8">
        <w:tc>
          <w:tcPr>
            <w:tcW w:w="1975" w:type="dxa"/>
          </w:tcPr>
          <w:p w:rsidR="00023BF8" w:rsidRDefault="004450D1">
            <w:pPr>
              <w:spacing w:after="0"/>
              <w:rPr>
                <w:lang w:eastAsia="zh-CN"/>
              </w:rPr>
            </w:pPr>
            <w:r>
              <w:rPr>
                <w:rFonts w:hint="eastAsia"/>
                <w:lang w:eastAsia="zh-CN"/>
              </w:rPr>
              <w:t>O</w:t>
            </w:r>
            <w:r>
              <w:rPr>
                <w:lang w:eastAsia="zh-CN"/>
              </w:rPr>
              <w:t>PPO</w:t>
            </w:r>
          </w:p>
        </w:tc>
        <w:tc>
          <w:tcPr>
            <w:tcW w:w="1170" w:type="dxa"/>
          </w:tcPr>
          <w:p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rsidR="00023BF8" w:rsidRDefault="00023BF8">
            <w:pPr>
              <w:spacing w:after="0"/>
              <w:rPr>
                <w:lang w:val="en-GB" w:eastAsia="ja-JP"/>
              </w:rPr>
            </w:pPr>
          </w:p>
        </w:tc>
      </w:tr>
      <w:tr w:rsidR="00023BF8">
        <w:tc>
          <w:tcPr>
            <w:tcW w:w="1975" w:type="dxa"/>
          </w:tcPr>
          <w:p w:rsidR="00023BF8" w:rsidRDefault="004450D1">
            <w:pPr>
              <w:spacing w:after="0"/>
              <w:rPr>
                <w:lang w:eastAsia="zh-CN"/>
              </w:rPr>
            </w:pPr>
            <w:r>
              <w:rPr>
                <w:rFonts w:hint="eastAsia"/>
                <w:lang w:eastAsia="zh-CN"/>
              </w:rPr>
              <w:t>X</w:t>
            </w:r>
            <w:r>
              <w:rPr>
                <w:lang w:eastAsia="zh-CN"/>
              </w:rPr>
              <w:t>iaomi</w:t>
            </w:r>
          </w:p>
        </w:tc>
        <w:tc>
          <w:tcPr>
            <w:tcW w:w="1170" w:type="dxa"/>
          </w:tcPr>
          <w:p w:rsidR="00023BF8" w:rsidRDefault="004450D1">
            <w:pPr>
              <w:spacing w:after="0"/>
              <w:rPr>
                <w:lang w:eastAsia="ja-JP"/>
              </w:rPr>
            </w:pPr>
            <w:r>
              <w:rPr>
                <w:lang w:eastAsia="ja-JP"/>
              </w:rPr>
              <w:t>Approach 2</w:t>
            </w:r>
          </w:p>
        </w:tc>
        <w:tc>
          <w:tcPr>
            <w:tcW w:w="6205" w:type="dxa"/>
          </w:tcPr>
          <w:p w:rsidR="00023BF8" w:rsidRDefault="004450D1">
            <w:pPr>
              <w:spacing w:after="0"/>
              <w:rPr>
                <w:lang w:val="en-GB" w:eastAsia="zh-CN"/>
              </w:rPr>
            </w:pPr>
            <w:r>
              <w:rPr>
                <w:rFonts w:hint="eastAsia"/>
                <w:lang w:val="en-GB" w:eastAsia="zh-CN"/>
              </w:rPr>
              <w:t>A</w:t>
            </w:r>
            <w:r>
              <w:rPr>
                <w:lang w:val="en-GB" w:eastAsia="zh-CN"/>
              </w:rPr>
              <w:t>pproach 2 is forward compatibility.</w:t>
            </w:r>
          </w:p>
          <w:p w:rsidR="00023BF8" w:rsidRDefault="004450D1">
            <w:pPr>
              <w:spacing w:after="0"/>
              <w:rPr>
                <w:lang w:val="en-GB" w:eastAsia="zh-CN"/>
              </w:rPr>
            </w:pPr>
            <w:r>
              <w:rPr>
                <w:lang w:val="en-GB" w:eastAsia="zh-CN"/>
              </w:rPr>
              <w:t xml:space="preserve">For approach 1, we understand the UE should not release the SDT configuration when the CG-SDT and </w:t>
            </w:r>
            <w:proofErr w:type="spellStart"/>
            <w:r>
              <w:rPr>
                <w:lang w:val="en-GB" w:eastAsia="zh-CN"/>
              </w:rPr>
              <w:t>srb</w:t>
            </w:r>
            <w:proofErr w:type="spellEnd"/>
            <w:r>
              <w:rPr>
                <w:lang w:val="en-GB" w:eastAsia="zh-CN"/>
              </w:rPr>
              <w:t xml:space="preserve">-SDT-NTN </w:t>
            </w:r>
            <w:proofErr w:type="gramStart"/>
            <w:r>
              <w:rPr>
                <w:lang w:val="en-GB" w:eastAsia="zh-CN"/>
              </w:rPr>
              <w:t>are supported</w:t>
            </w:r>
            <w:proofErr w:type="gramEnd"/>
            <w:r>
              <w:rPr>
                <w:lang w:val="en-GB" w:eastAsia="zh-CN"/>
              </w:rPr>
              <w:t xml:space="preserve">. </w:t>
            </w:r>
          </w:p>
        </w:tc>
      </w:tr>
      <w:tr w:rsidR="00023BF8">
        <w:tc>
          <w:tcPr>
            <w:tcW w:w="1975" w:type="dxa"/>
          </w:tcPr>
          <w:p w:rsidR="00023BF8" w:rsidRDefault="004450D1">
            <w:pPr>
              <w:spacing w:after="0"/>
              <w:rPr>
                <w:lang w:eastAsia="zh-CN"/>
              </w:rPr>
            </w:pPr>
            <w:r>
              <w:rPr>
                <w:rFonts w:hint="eastAsia"/>
                <w:lang w:eastAsia="zh-CN"/>
              </w:rPr>
              <w:t>ZTE</w:t>
            </w:r>
          </w:p>
        </w:tc>
        <w:tc>
          <w:tcPr>
            <w:tcW w:w="1170" w:type="dxa"/>
          </w:tcPr>
          <w:p w:rsidR="00023BF8" w:rsidRDefault="004450D1">
            <w:pPr>
              <w:spacing w:after="0"/>
              <w:rPr>
                <w:lang w:eastAsia="zh-CN"/>
              </w:rPr>
            </w:pPr>
            <w:r>
              <w:rPr>
                <w:rFonts w:hint="eastAsia"/>
                <w:lang w:eastAsia="zh-CN"/>
              </w:rPr>
              <w:t>None</w:t>
            </w:r>
          </w:p>
        </w:tc>
        <w:tc>
          <w:tcPr>
            <w:tcW w:w="6205" w:type="dxa"/>
          </w:tcPr>
          <w:p w:rsidR="00023BF8" w:rsidRDefault="004450D1">
            <w:pPr>
              <w:spacing w:after="0"/>
              <w:rPr>
                <w:lang w:eastAsia="zh-CN"/>
              </w:rPr>
            </w:pPr>
            <w:r>
              <w:rPr>
                <w:rFonts w:hint="eastAsia"/>
                <w:lang w:eastAsia="zh-CN"/>
              </w:rPr>
              <w:t xml:space="preserve">Please refer to our replies in discussion point 4. We </w:t>
            </w:r>
            <w:proofErr w:type="gramStart"/>
            <w:r>
              <w:rPr>
                <w:rFonts w:hint="eastAsia"/>
                <w:lang w:eastAsia="zh-CN"/>
              </w:rPr>
              <w:t>don</w:t>
            </w:r>
            <w:r>
              <w:rPr>
                <w:lang w:eastAsia="zh-CN"/>
              </w:rPr>
              <w:t>’</w:t>
            </w:r>
            <w:r>
              <w:rPr>
                <w:rFonts w:hint="eastAsia"/>
                <w:lang w:eastAsia="zh-CN"/>
              </w:rPr>
              <w:t>t</w:t>
            </w:r>
            <w:proofErr w:type="gramEnd"/>
            <w:r>
              <w:rPr>
                <w:rFonts w:hint="eastAsia"/>
                <w:lang w:eastAsia="zh-CN"/>
              </w:rPr>
              <w:t xml:space="preserve"> think it is an NTN specific issue and not sure why we only capture it for SDT. </w:t>
            </w:r>
          </w:p>
        </w:tc>
      </w:tr>
      <w:tr w:rsidR="00023BF8">
        <w:tc>
          <w:tcPr>
            <w:tcW w:w="1975" w:type="dxa"/>
          </w:tcPr>
          <w:p w:rsidR="00023BF8" w:rsidRDefault="00BB201C">
            <w:pPr>
              <w:spacing w:after="0"/>
              <w:rPr>
                <w:lang w:eastAsia="ja-JP"/>
              </w:rPr>
            </w:pPr>
            <w:r>
              <w:rPr>
                <w:lang w:eastAsia="ja-JP"/>
              </w:rPr>
              <w:t>Thales</w:t>
            </w:r>
          </w:p>
        </w:tc>
        <w:tc>
          <w:tcPr>
            <w:tcW w:w="1170" w:type="dxa"/>
          </w:tcPr>
          <w:p w:rsidR="00023BF8" w:rsidRDefault="00BB201C">
            <w:pPr>
              <w:spacing w:after="0"/>
              <w:rPr>
                <w:lang w:eastAsia="ja-JP"/>
              </w:rPr>
            </w:pPr>
            <w:r>
              <w:rPr>
                <w:lang w:eastAsia="ja-JP"/>
              </w:rPr>
              <w:t>Approach 2</w:t>
            </w:r>
          </w:p>
        </w:tc>
        <w:tc>
          <w:tcPr>
            <w:tcW w:w="6205" w:type="dxa"/>
          </w:tcPr>
          <w:p w:rsidR="00023BF8" w:rsidRDefault="00023BF8">
            <w:pPr>
              <w:spacing w:after="0"/>
              <w:rPr>
                <w:lang w:val="en-GB" w:eastAsia="ja-JP"/>
              </w:rPr>
            </w:pPr>
            <w:bookmarkStart w:id="12" w:name="_GoBack"/>
            <w:bookmarkEnd w:id="12"/>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r w:rsidR="00023BF8">
        <w:tc>
          <w:tcPr>
            <w:tcW w:w="1975" w:type="dxa"/>
          </w:tcPr>
          <w:p w:rsidR="00023BF8" w:rsidRDefault="00023BF8">
            <w:pPr>
              <w:spacing w:after="0"/>
              <w:rPr>
                <w:lang w:eastAsia="ja-JP"/>
              </w:rPr>
            </w:pPr>
          </w:p>
        </w:tc>
        <w:tc>
          <w:tcPr>
            <w:tcW w:w="1170" w:type="dxa"/>
          </w:tcPr>
          <w:p w:rsidR="00023BF8" w:rsidRDefault="00023BF8">
            <w:pPr>
              <w:spacing w:after="0"/>
              <w:rPr>
                <w:lang w:eastAsia="ja-JP"/>
              </w:rPr>
            </w:pPr>
          </w:p>
        </w:tc>
        <w:tc>
          <w:tcPr>
            <w:tcW w:w="6205" w:type="dxa"/>
          </w:tcPr>
          <w:p w:rsidR="00023BF8" w:rsidRDefault="00023BF8">
            <w:pPr>
              <w:spacing w:after="0"/>
              <w:rPr>
                <w:lang w:val="en-GB" w:eastAsia="ja-JP"/>
              </w:rPr>
            </w:pPr>
          </w:p>
        </w:tc>
      </w:tr>
    </w:tbl>
    <w:p w:rsidR="00023BF8" w:rsidRDefault="00023BF8"/>
    <w:p w:rsidR="00023BF8" w:rsidRDefault="00023BF8"/>
    <w:p w:rsidR="00023BF8" w:rsidRDefault="00023BF8">
      <w:pPr>
        <w:overflowPunct/>
        <w:autoSpaceDE/>
        <w:autoSpaceDN/>
        <w:adjustRightInd/>
        <w:spacing w:after="0"/>
      </w:pPr>
    </w:p>
    <w:p w:rsidR="00023BF8" w:rsidRDefault="004450D1">
      <w:pPr>
        <w:pStyle w:val="Heading1"/>
      </w:pPr>
      <w:r>
        <w:t>Report: summary and proposals</w:t>
      </w:r>
    </w:p>
    <w:p w:rsidR="00023BF8" w:rsidRDefault="004450D1">
      <w:pPr>
        <w:jc w:val="both"/>
      </w:pPr>
      <w:r>
        <w:rPr>
          <w:highlight w:val="yellow"/>
        </w:rPr>
        <w:t xml:space="preserve">&lt;Section to </w:t>
      </w:r>
      <w:proofErr w:type="gramStart"/>
      <w:r>
        <w:rPr>
          <w:highlight w:val="yellow"/>
        </w:rPr>
        <w:t>be updated</w:t>
      </w:r>
      <w:proofErr w:type="gramEnd"/>
      <w:r>
        <w:rPr>
          <w:highlight w:val="yellow"/>
        </w:rPr>
        <w:t xml:space="preserve"> by Rapporteur&gt;</w:t>
      </w:r>
    </w:p>
    <w:p w:rsidR="00023BF8" w:rsidRDefault="004450D1">
      <w:pPr>
        <w:jc w:val="both"/>
      </w:pPr>
      <w:r>
        <w:t>This report summarizes the views of xx companies ().</w:t>
      </w:r>
    </w:p>
    <w:p w:rsidR="00023BF8" w:rsidRDefault="004450D1">
      <w:pPr>
        <w:pStyle w:val="Proposal"/>
        <w:numPr>
          <w:ilvl w:val="0"/>
          <w:numId w:val="11"/>
        </w:numPr>
        <w:rPr>
          <w:b/>
          <w:bCs/>
        </w:rPr>
      </w:pPr>
      <w:bookmarkStart w:id="13" w:name="_Toc69291230"/>
      <w:bookmarkStart w:id="14" w:name="_Toc69291237"/>
      <w:bookmarkStart w:id="15" w:name="_Toc69291243"/>
      <w:bookmarkStart w:id="16" w:name="_Toc69291254"/>
      <w:bookmarkStart w:id="17" w:name="_Toc69291234"/>
      <w:bookmarkStart w:id="18" w:name="_Toc69291256"/>
      <w:bookmarkStart w:id="19" w:name="_Toc69291255"/>
      <w:bookmarkStart w:id="20" w:name="_Toc69291257"/>
      <w:bookmarkStart w:id="21" w:name="_Toc69291258"/>
      <w:bookmarkStart w:id="22" w:name="_Toc69291248"/>
      <w:bookmarkStart w:id="23" w:name="_Toc69291253"/>
      <w:bookmarkStart w:id="24" w:name="_Toc69291259"/>
      <w:bookmarkStart w:id="25" w:name="_Toc69291260"/>
      <w:bookmarkStart w:id="26" w:name="_Toc69291245"/>
      <w:bookmarkStart w:id="27" w:name="_Toc69291261"/>
      <w:bookmarkStart w:id="28" w:name="_Toc69291247"/>
      <w:bookmarkStart w:id="29" w:name="_Toc69291249"/>
      <w:bookmarkStart w:id="30" w:name="_Toc69291250"/>
      <w:bookmarkStart w:id="31" w:name="_Toc69291262"/>
      <w:bookmarkStart w:id="32" w:name="_Toc69291233"/>
      <w:bookmarkStart w:id="33" w:name="_Toc69291236"/>
      <w:bookmarkStart w:id="34" w:name="_Toc69291232"/>
      <w:bookmarkStart w:id="35" w:name="_Toc69291241"/>
      <w:bookmarkStart w:id="36" w:name="_Toc69291242"/>
      <w:bookmarkStart w:id="37" w:name="_Toc69291238"/>
      <w:bookmarkStart w:id="38" w:name="_Toc69291244"/>
      <w:bookmarkStart w:id="39" w:name="_Toc69291246"/>
      <w:bookmarkStart w:id="40" w:name="_Toc69291251"/>
      <w:bookmarkStart w:id="41" w:name="_Toc69291240"/>
      <w:bookmarkStart w:id="42" w:name="_Toc69291252"/>
      <w:bookmarkStart w:id="43" w:name="_Toc69291231"/>
      <w:bookmarkStart w:id="44" w:name="_Toc69291235"/>
      <w:bookmarkStart w:id="45" w:name="_Toc69291239"/>
      <w:bookmarkStart w:id="46" w:name="_Toc69291287"/>
      <w:bookmarkStart w:id="47" w:name="_Toc69291272"/>
      <w:bookmarkStart w:id="48" w:name="_Toc69291276"/>
      <w:bookmarkStart w:id="49" w:name="_Toc69291290"/>
      <w:bookmarkStart w:id="50" w:name="_Toc69291277"/>
      <w:bookmarkStart w:id="51" w:name="_Toc69291263"/>
      <w:bookmarkStart w:id="52" w:name="_Toc69291269"/>
      <w:bookmarkStart w:id="53" w:name="_Toc69291281"/>
      <w:bookmarkStart w:id="54" w:name="_Toc69291292"/>
      <w:bookmarkStart w:id="55" w:name="_Toc69291294"/>
      <w:bookmarkStart w:id="56" w:name="_Toc69291265"/>
      <w:bookmarkStart w:id="57" w:name="_Toc69291271"/>
      <w:bookmarkStart w:id="58" w:name="_Toc69291268"/>
      <w:bookmarkStart w:id="59" w:name="_Toc69291279"/>
      <w:bookmarkStart w:id="60" w:name="_Toc69291274"/>
      <w:bookmarkStart w:id="61" w:name="_Toc69291273"/>
      <w:bookmarkStart w:id="62" w:name="_Toc69291267"/>
      <w:bookmarkStart w:id="63" w:name="_Toc69291280"/>
      <w:bookmarkStart w:id="64" w:name="_Toc69291289"/>
      <w:bookmarkStart w:id="65" w:name="_Toc69291285"/>
      <w:bookmarkStart w:id="66" w:name="_Toc69291291"/>
      <w:bookmarkStart w:id="67" w:name="_Toc69291278"/>
      <w:bookmarkStart w:id="68" w:name="_Toc69291286"/>
      <w:bookmarkStart w:id="69" w:name="_Toc69291282"/>
      <w:bookmarkStart w:id="70" w:name="_Toc69291266"/>
      <w:bookmarkStart w:id="71" w:name="_Toc69291288"/>
      <w:bookmarkStart w:id="72" w:name="_Toc69291293"/>
      <w:bookmarkStart w:id="73" w:name="_Toc69291284"/>
      <w:bookmarkStart w:id="74" w:name="_Toc69291275"/>
      <w:bookmarkStart w:id="75" w:name="_Toc69291270"/>
      <w:bookmarkStart w:id="76" w:name="_Toc69291264"/>
      <w:bookmarkStart w:id="77" w:name="_Toc69291283"/>
      <w:bookmarkStart w:id="78" w:name="_Toc69291305"/>
      <w:bookmarkStart w:id="79" w:name="_Toc69291297"/>
      <w:bookmarkStart w:id="80" w:name="_Toc69291296"/>
      <w:bookmarkStart w:id="81" w:name="_Toc69291303"/>
      <w:bookmarkStart w:id="82" w:name="_Toc69291302"/>
      <w:bookmarkStart w:id="83" w:name="_Toc69291298"/>
      <w:bookmarkStart w:id="84" w:name="_Toc69291295"/>
      <w:bookmarkStart w:id="85" w:name="_Toc69291299"/>
      <w:bookmarkStart w:id="86" w:name="_Toc69291300"/>
      <w:bookmarkStart w:id="87" w:name="_Toc69291304"/>
      <w:bookmarkStart w:id="88" w:name="_Toc69291301"/>
      <w:bookmarkStart w:id="89" w:name="_Toc69207415"/>
      <w:bookmarkStart w:id="90" w:name="_Toc69208496"/>
      <w:bookmarkStart w:id="91" w:name="_Toc69210335"/>
      <w:bookmarkStart w:id="92" w:name="_Toc69221941"/>
      <w:bookmarkStart w:id="93" w:name="_Toc69222488"/>
      <w:bookmarkStart w:id="94" w:name="_Toc69210606"/>
      <w:bookmarkStart w:id="95" w:name="_Toc69291306"/>
      <w:bookmarkStart w:id="96" w:name="_Toc69205206"/>
      <w:bookmarkStart w:id="97" w:name="_Toc69221740"/>
      <w:bookmarkStart w:id="98" w:name="_Ref69221882"/>
      <w:bookmarkStart w:id="99" w:name="_Toc69313081"/>
      <w:bookmarkStart w:id="100" w:name="_Toc6922189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highlight w:val="yellow"/>
        </w:rPr>
        <w:t>xxx</w:t>
      </w:r>
      <w:bookmarkEnd w:id="89"/>
      <w:bookmarkEnd w:id="90"/>
      <w:bookmarkEnd w:id="91"/>
      <w:bookmarkEnd w:id="92"/>
      <w:bookmarkEnd w:id="93"/>
      <w:bookmarkEnd w:id="94"/>
      <w:bookmarkEnd w:id="95"/>
      <w:bookmarkEnd w:id="96"/>
      <w:bookmarkEnd w:id="97"/>
      <w:bookmarkEnd w:id="98"/>
      <w:bookmarkEnd w:id="99"/>
      <w:bookmarkEnd w:id="100"/>
    </w:p>
    <w:p w:rsidR="00023BF8" w:rsidRDefault="004450D1">
      <w:pPr>
        <w:pStyle w:val="Proposal"/>
        <w:numPr>
          <w:ilvl w:val="0"/>
          <w:numId w:val="11"/>
        </w:numPr>
        <w:rPr>
          <w:b/>
          <w:bCs/>
        </w:rPr>
      </w:pPr>
      <w:bookmarkStart w:id="101" w:name="_Toc69291308"/>
      <w:bookmarkStart w:id="102" w:name="_Toc69291307"/>
      <w:bookmarkStart w:id="103" w:name="_Toc69313082"/>
      <w:bookmarkStart w:id="104" w:name="_Toc69291309"/>
      <w:bookmarkStart w:id="105" w:name="_Toc69205209"/>
      <w:bookmarkStart w:id="106" w:name="_Toc69207418"/>
      <w:bookmarkStart w:id="107" w:name="_Toc69210609"/>
      <w:bookmarkStart w:id="108" w:name="_Toc69221743"/>
      <w:bookmarkStart w:id="109" w:name="_Toc69210338"/>
      <w:bookmarkStart w:id="110" w:name="_Toc69221901"/>
      <w:bookmarkStart w:id="111" w:name="_Toc69222491"/>
      <w:bookmarkStart w:id="112" w:name="_Toc69221944"/>
      <w:bookmarkStart w:id="113" w:name="_Toc69208499"/>
      <w:bookmarkEnd w:id="101"/>
      <w:bookmarkEnd w:id="102"/>
      <w:r>
        <w:rPr>
          <w:highlight w:val="yellow"/>
        </w:rPr>
        <w:t>xxx</w:t>
      </w:r>
      <w:bookmarkEnd w:id="103"/>
      <w:bookmarkEnd w:id="104"/>
    </w:p>
    <w:bookmarkEnd w:id="105"/>
    <w:bookmarkEnd w:id="106"/>
    <w:bookmarkEnd w:id="107"/>
    <w:bookmarkEnd w:id="108"/>
    <w:bookmarkEnd w:id="109"/>
    <w:bookmarkEnd w:id="110"/>
    <w:bookmarkEnd w:id="111"/>
    <w:bookmarkEnd w:id="112"/>
    <w:bookmarkEnd w:id="113"/>
    <w:p w:rsidR="00023BF8" w:rsidRDefault="00023BF8">
      <w:pPr>
        <w:jc w:val="both"/>
        <w:rPr>
          <w:lang w:eastAsia="zh-CN"/>
        </w:rPr>
      </w:pPr>
    </w:p>
    <w:p w:rsidR="00023BF8" w:rsidRDefault="004450D1">
      <w:pPr>
        <w:pStyle w:val="observ"/>
        <w:ind w:left="360"/>
      </w:pPr>
      <w:bookmarkStart w:id="114" w:name="_Toc68865237"/>
      <w:proofErr w:type="spellStart"/>
      <w:proofErr w:type="gramStart"/>
      <w:r>
        <w:rPr>
          <w:highlight w:val="yellow"/>
        </w:rPr>
        <w:t>xxxx</w:t>
      </w:r>
      <w:proofErr w:type="spellEnd"/>
      <w:proofErr w:type="gramEnd"/>
      <w:r>
        <w:t>.</w:t>
      </w:r>
      <w:bookmarkEnd w:id="114"/>
    </w:p>
    <w:p w:rsidR="00023BF8" w:rsidRDefault="00023BF8"/>
    <w:p w:rsidR="00023BF8" w:rsidRDefault="00023BF8"/>
    <w:p w:rsidR="00023BF8" w:rsidRDefault="004450D1">
      <w:pPr>
        <w:pStyle w:val="Heading1"/>
        <w:numPr>
          <w:ilvl w:val="0"/>
          <w:numId w:val="4"/>
        </w:numPr>
      </w:pPr>
      <w:r>
        <w:t>Conclusion</w:t>
      </w:r>
    </w:p>
    <w:p w:rsidR="00023BF8" w:rsidRDefault="004450D1">
      <w:pPr>
        <w:spacing w:after="60"/>
        <w:jc w:val="both"/>
        <w:rPr>
          <w:lang w:val="en-GB" w:eastAsia="zh-CN"/>
        </w:rPr>
      </w:pPr>
      <w:r>
        <w:rPr>
          <w:iCs/>
          <w:lang w:eastAsia="ja-JP"/>
        </w:rPr>
        <w:t xml:space="preserve">The </w:t>
      </w:r>
      <w:r>
        <w:rPr>
          <w:iCs/>
          <w:lang w:eastAsia="ja-JP"/>
        </w:rPr>
        <w:t>observations captured are the following</w:t>
      </w:r>
      <w:r>
        <w:rPr>
          <w:lang w:val="en-GB" w:eastAsia="zh-CN"/>
        </w:rPr>
        <w:t>:</w:t>
      </w:r>
    </w:p>
    <w:p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rsidR="00023BF8" w:rsidRDefault="004450D1">
      <w:pPr>
        <w:jc w:val="both"/>
        <w:rPr>
          <w:lang w:eastAsia="zh-CN"/>
        </w:rPr>
      </w:pPr>
      <w:r>
        <w:rPr>
          <w:lang w:eastAsia="zh-CN"/>
        </w:rPr>
        <w:fldChar w:fldCharType="end"/>
      </w:r>
    </w:p>
    <w:p w:rsidR="00023BF8" w:rsidRDefault="004450D1">
      <w:pPr>
        <w:jc w:val="both"/>
        <w:rPr>
          <w:lang w:eastAsia="zh-CN"/>
        </w:rPr>
      </w:pPr>
      <w:r>
        <w:rPr>
          <w:lang w:eastAsia="zh-CN"/>
        </w:rPr>
        <w:t xml:space="preserve">The following list shows the proposals above organized based on the </w:t>
      </w:r>
      <w:r>
        <w:rPr>
          <w:lang w:eastAsia="zh-CN"/>
        </w:rPr>
        <w:t>suggested priority aiming to help during its meeting discussion:</w:t>
      </w:r>
    </w:p>
    <w:p w:rsidR="00023BF8" w:rsidRDefault="004450D1">
      <w:pPr>
        <w:spacing w:after="120"/>
        <w:rPr>
          <w:b/>
          <w:bCs/>
          <w:color w:val="00B050"/>
          <w:u w:val="single"/>
        </w:rPr>
      </w:pPr>
      <w:r>
        <w:rPr>
          <w:b/>
          <w:bCs/>
          <w:color w:val="00B050"/>
          <w:u w:val="single"/>
        </w:rPr>
        <w:t>Proposals for easy agreement</w:t>
      </w:r>
    </w:p>
    <w:p w:rsidR="00023BF8" w:rsidRDefault="004450D1">
      <w:proofErr w:type="gramStart"/>
      <w:r>
        <w:t>xxx</w:t>
      </w:r>
      <w:proofErr w:type="gramEnd"/>
    </w:p>
    <w:p w:rsidR="00023BF8" w:rsidRDefault="00023BF8"/>
    <w:p w:rsidR="00023BF8" w:rsidRDefault="004450D1">
      <w:pPr>
        <w:spacing w:after="120"/>
        <w:rPr>
          <w:b/>
          <w:bCs/>
          <w:color w:val="0000CC"/>
          <w:u w:val="single"/>
        </w:rPr>
      </w:pPr>
      <w:r>
        <w:rPr>
          <w:b/>
          <w:bCs/>
          <w:color w:val="0000CC"/>
          <w:u w:val="single"/>
        </w:rPr>
        <w:t>Proposals for discussion</w:t>
      </w:r>
    </w:p>
    <w:p w:rsidR="00023BF8" w:rsidRDefault="004450D1">
      <w:proofErr w:type="gramStart"/>
      <w:r>
        <w:t>xxx</w:t>
      </w:r>
      <w:proofErr w:type="gramEnd"/>
    </w:p>
    <w:p w:rsidR="00023BF8" w:rsidRDefault="00023BF8"/>
    <w:p w:rsidR="00023BF8" w:rsidRDefault="00023BF8"/>
    <w:p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tc>
          <w:tcPr>
            <w:tcW w:w="1760" w:type="dxa"/>
            <w:shd w:val="clear" w:color="auto" w:fill="BFBFBF" w:themeFill="background1" w:themeFillShade="BF"/>
          </w:tcPr>
          <w:p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rsidR="00023BF8" w:rsidRDefault="004450D1">
            <w:pPr>
              <w:spacing w:after="0"/>
              <w:jc w:val="center"/>
              <w:rPr>
                <w:b/>
                <w:bCs/>
                <w:lang w:eastAsia="ja-JP"/>
              </w:rPr>
            </w:pPr>
            <w:r>
              <w:rPr>
                <w:b/>
                <w:bCs/>
                <w:lang w:eastAsia="ja-JP"/>
              </w:rPr>
              <w:t>Email address</w:t>
            </w: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r w:rsidR="00023BF8">
        <w:tc>
          <w:tcPr>
            <w:tcW w:w="1760" w:type="dxa"/>
          </w:tcPr>
          <w:p w:rsidR="00023BF8" w:rsidRDefault="00023BF8">
            <w:pPr>
              <w:spacing w:after="0"/>
              <w:rPr>
                <w:lang w:eastAsia="ja-JP"/>
              </w:rPr>
            </w:pPr>
          </w:p>
        </w:tc>
        <w:tc>
          <w:tcPr>
            <w:tcW w:w="2687" w:type="dxa"/>
          </w:tcPr>
          <w:p w:rsidR="00023BF8" w:rsidRDefault="00023BF8">
            <w:pPr>
              <w:spacing w:after="0"/>
              <w:rPr>
                <w:lang w:eastAsia="ja-JP"/>
              </w:rPr>
            </w:pPr>
          </w:p>
        </w:tc>
        <w:tc>
          <w:tcPr>
            <w:tcW w:w="4903" w:type="dxa"/>
          </w:tcPr>
          <w:p w:rsidR="00023BF8" w:rsidRDefault="00023BF8">
            <w:pPr>
              <w:spacing w:after="0"/>
              <w:rPr>
                <w:lang w:eastAsia="ja-JP"/>
              </w:rPr>
            </w:pPr>
          </w:p>
        </w:tc>
      </w:tr>
    </w:tbl>
    <w:p w:rsidR="00023BF8" w:rsidRDefault="00023BF8"/>
    <w:p w:rsidR="00023BF8" w:rsidRDefault="00023BF8">
      <w:pPr>
        <w:jc w:val="both"/>
        <w:rPr>
          <w:lang w:eastAsia="zh-CN"/>
        </w:rPr>
      </w:pPr>
    </w:p>
    <w:p w:rsidR="00023BF8" w:rsidRDefault="00023BF8">
      <w:pPr>
        <w:jc w:val="both"/>
        <w:rPr>
          <w:lang w:eastAsia="zh-CN"/>
        </w:rPr>
      </w:pPr>
    </w:p>
    <w:p w:rsidR="00023BF8" w:rsidRDefault="004450D1">
      <w:pPr>
        <w:pStyle w:val="Heading1"/>
        <w:numPr>
          <w:ilvl w:val="0"/>
          <w:numId w:val="4"/>
        </w:numPr>
      </w:pPr>
      <w:bookmarkStart w:id="115" w:name="_Ref434066290"/>
      <w:r>
        <w:t>Reference</w:t>
      </w:r>
      <w:bookmarkEnd w:id="115"/>
    </w:p>
    <w:p w:rsidR="00023BF8" w:rsidRDefault="004450D1">
      <w:pPr>
        <w:pStyle w:val="Doc-title"/>
        <w:numPr>
          <w:ilvl w:val="0"/>
          <w:numId w:val="12"/>
        </w:numPr>
        <w:spacing w:after="60"/>
        <w:rPr>
          <w:rFonts w:ascii="Times New Roman" w:hAnsi="Times New Roman" w:cs="Times New Roman"/>
          <w:sz w:val="20"/>
        </w:rPr>
      </w:pPr>
      <w:bookmarkStart w:id="116" w:name="_Ref68864855"/>
      <w:bookmarkStart w:id="117"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rsidR="00023BF8" w:rsidRDefault="004450D1">
      <w:pPr>
        <w:pStyle w:val="Doc-title"/>
        <w:numPr>
          <w:ilvl w:val="0"/>
          <w:numId w:val="12"/>
        </w:numPr>
        <w:spacing w:after="60"/>
        <w:rPr>
          <w:rFonts w:ascii="Times New Roman" w:hAnsi="Times New Roman" w:cs="Times New Roman"/>
          <w:sz w:val="20"/>
        </w:rPr>
      </w:pPr>
      <w:bookmarkStart w:id="118"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r>
      <w:proofErr w:type="spellStart"/>
      <w:r>
        <w:rPr>
          <w:rFonts w:ascii="Times New Roman" w:hAnsi="Times New Roman" w:cs="Times New Roman"/>
          <w:sz w:val="20"/>
        </w:rPr>
        <w:t>NR_NTN_solutio</w:t>
      </w:r>
      <w:r>
        <w:rPr>
          <w:rFonts w:ascii="Times New Roman" w:hAnsi="Times New Roman" w:cs="Times New Roman"/>
          <w:sz w:val="20"/>
        </w:rPr>
        <w:t>ns</w:t>
      </w:r>
      <w:proofErr w:type="spellEnd"/>
      <w:r>
        <w:rPr>
          <w:rFonts w:ascii="Times New Roman" w:hAnsi="Times New Roman" w:cs="Times New Roman"/>
          <w:sz w:val="20"/>
        </w:rPr>
        <w:t>-Core</w:t>
      </w:r>
      <w:bookmarkEnd w:id="118"/>
    </w:p>
    <w:p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rsidR="00023BF8" w:rsidRDefault="004450D1">
      <w:pPr>
        <w:pStyle w:val="Doc-title"/>
        <w:numPr>
          <w:ilvl w:val="0"/>
          <w:numId w:val="12"/>
        </w:numPr>
        <w:spacing w:after="60"/>
        <w:rPr>
          <w:rFonts w:ascii="Times New Roman" w:hAnsi="Times New Roman" w:cs="Times New Roman"/>
          <w:sz w:val="20"/>
        </w:rPr>
      </w:pPr>
      <w:bookmarkStart w:id="119"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19"/>
    </w:p>
    <w:bookmarkEnd w:id="116"/>
    <w:bookmarkEnd w:id="117"/>
    <w:p w:rsidR="00023BF8" w:rsidRDefault="00023BF8">
      <w:pPr>
        <w:rPr>
          <w:lang w:val="en-GB" w:eastAsia="en-GB"/>
        </w:rPr>
      </w:pPr>
    </w:p>
    <w:sectPr w:rsidR="00023BF8">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D1" w:rsidRDefault="004450D1">
      <w:pPr>
        <w:spacing w:after="0" w:line="240" w:lineRule="auto"/>
      </w:pPr>
      <w:r>
        <w:separator/>
      </w:r>
    </w:p>
  </w:endnote>
  <w:endnote w:type="continuationSeparator" w:id="0">
    <w:p w:rsidR="004450D1" w:rsidRDefault="004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UI"/>
    <w:charset w:val="80"/>
    <w:family w:val="roman"/>
    <w:pitch w:val="default"/>
    <w:sig w:usb0="00000000" w:usb1="0000000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F8" w:rsidRDefault="004450D1">
    <w:pPr>
      <w:pStyle w:val="Footer"/>
    </w:pPr>
    <w:r>
      <w:rPr>
        <w:noProof/>
        <w:lang w:val="fr-FR"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rsidR="00023BF8" w:rsidRDefault="004450D1">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6cce48faba0b1c31c11c3bf3" o:spid="_x0000_s1026" o:spt="202" alt="{&quot;HashCode&quot;:-1699574231,&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sxrYW&#10;2AAAAAsBAAAPAAAAAAAAAAEAIAAAACIAAABkcnMvZG93bnJldi54bWxQSwECFAAUAAAACACHTuJA&#10;ZmCy4JMCAAAOBQAADgAAAAAAAAABACAAAAAnAQAAZHJzL2Uyb0RvYy54bWxQSwUGAAAAAAYABgBZ&#10;AQAALAY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D1" w:rsidRDefault="004450D1">
      <w:pPr>
        <w:spacing w:after="0" w:line="240" w:lineRule="auto"/>
      </w:pPr>
      <w:r>
        <w:separator/>
      </w:r>
    </w:p>
  </w:footnote>
  <w:footnote w:type="continuationSeparator" w:id="0">
    <w:p w:rsidR="004450D1" w:rsidRDefault="0044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4"/>
  </w:num>
  <w:num w:numId="8">
    <w:abstractNumId w:val="8"/>
  </w:num>
  <w:num w:numId="9">
    <w:abstractNumId w:val="0"/>
  </w:num>
  <w:num w:numId="10">
    <w:abstractNumId w:val="3"/>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4741"/>
    <w:rsid w:val="00072001"/>
    <w:rsid w:val="00086FA3"/>
    <w:rsid w:val="000B7291"/>
    <w:rsid w:val="000D3CA5"/>
    <w:rsid w:val="000D4254"/>
    <w:rsid w:val="000D4267"/>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1382"/>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450D1"/>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B201C"/>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D609B"/>
    <w:rsid w:val="00DE0969"/>
    <w:rsid w:val="00DF6925"/>
    <w:rsid w:val="00DF6F43"/>
    <w:rsid w:val="00DF7E0D"/>
    <w:rsid w:val="00E10E2D"/>
    <w:rsid w:val="00E11176"/>
    <w:rsid w:val="00E118CC"/>
    <w:rsid w:val="00E1291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04D6"/>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4.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3031</Words>
  <Characters>16671</Characters>
  <Application>Microsoft Office Word</Application>
  <DocSecurity>0</DocSecurity>
  <Lines>138</Lines>
  <Paragraphs>39</Paragraphs>
  <ScaleCrop>false</ScaleCrop>
  <Company>Intel Corporation</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CTPClassification=CTP_NT</cp:keywords>
  <cp:lastModifiedBy>Ronteix-Jacquet Flavien</cp:lastModifiedBy>
  <cp:revision>6</cp:revision>
  <dcterms:created xsi:type="dcterms:W3CDTF">2023-04-20T05:00:00Z</dcterms:created>
  <dcterms:modified xsi:type="dcterms:W3CDTF">2023-04-20T10:14:00Z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