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[AT121bis-e][108][NR NTN Enh]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Heading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Strong"/>
          <w:rFonts w:ascii="Wingdings" w:hAnsi="Wingdings"/>
          <w:b/>
          <w:bCs w:val="0"/>
        </w:rPr>
        <w:t></w:t>
      </w:r>
      <w:r>
        <w:rPr>
          <w:rStyle w:val="Strong"/>
          <w:b/>
          <w:bCs w:val="0"/>
        </w:rPr>
        <w:t>[AT121bis-e][108][NR NTN Enh]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Transsion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A</w:t>
            </w:r>
            <w:r w:rsidRPr="00BC48F3">
              <w:rPr>
                <w:rFonts w:eastAsia="DengXian"/>
                <w:sz w:val="20"/>
                <w:lang w:val="en-US" w:eastAsia="zh-CN"/>
              </w:rPr>
              <w:t>SUSTeK</w:t>
            </w:r>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0A3F79" w14:paraId="3630BCF7"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AA87D4B" w14:textId="7940B2DE" w:rsidR="000A3F79" w:rsidRPr="000A3F79" w:rsidRDefault="000A3F79" w:rsidP="00773F10">
            <w:pPr>
              <w:pStyle w:val="TAC"/>
              <w:spacing w:before="20" w:after="20"/>
              <w:ind w:left="57" w:right="57"/>
              <w:jc w:val="left"/>
              <w:rPr>
                <w:rFonts w:eastAsia="Yu Mincho"/>
                <w:sz w:val="20"/>
                <w:lang w:val="en-US"/>
              </w:rPr>
            </w:pPr>
            <w:r>
              <w:rPr>
                <w:rFonts w:eastAsia="Yu Mincho" w:hint="eastAsia"/>
                <w:sz w:val="20"/>
                <w:lang w:val="en-US"/>
              </w:rPr>
              <w:t>S</w:t>
            </w:r>
            <w:r>
              <w:rPr>
                <w:rFonts w:eastAsia="Yu Mincho"/>
                <w:sz w:val="20"/>
                <w:lang w:val="en-US"/>
              </w:rPr>
              <w:t>harp</w:t>
            </w:r>
          </w:p>
        </w:tc>
        <w:tc>
          <w:tcPr>
            <w:tcW w:w="3118" w:type="dxa"/>
            <w:gridSpan w:val="2"/>
            <w:tcBorders>
              <w:top w:val="single" w:sz="4" w:space="0" w:color="auto"/>
              <w:left w:val="single" w:sz="4" w:space="0" w:color="auto"/>
              <w:bottom w:val="single" w:sz="4" w:space="0" w:color="auto"/>
              <w:right w:val="single" w:sz="4" w:space="0" w:color="auto"/>
            </w:tcBorders>
          </w:tcPr>
          <w:p w14:paraId="7CDB4F9A" w14:textId="33960C2F" w:rsidR="000A3F79" w:rsidRPr="000A3F79" w:rsidRDefault="000A3F79" w:rsidP="00773F10">
            <w:pPr>
              <w:pStyle w:val="TAC"/>
              <w:spacing w:before="20" w:after="20"/>
              <w:ind w:left="57" w:right="57"/>
              <w:jc w:val="left"/>
              <w:rPr>
                <w:rFonts w:eastAsia="Yu Mincho"/>
                <w:sz w:val="20"/>
                <w:lang w:val="en-US"/>
              </w:rPr>
            </w:pPr>
            <w:r>
              <w:rPr>
                <w:rFonts w:eastAsia="Yu Mincho" w:hint="eastAsia"/>
                <w:sz w:val="20"/>
                <w:lang w:val="en-US"/>
              </w:rPr>
              <w:t>H</w:t>
            </w:r>
            <w:r>
              <w:rPr>
                <w:rFonts w:eastAsia="Yu Mincho"/>
                <w:sz w:val="20"/>
                <w:lang w:val="en-US"/>
              </w:rPr>
              <w:t>idekazu Tsuboi</w:t>
            </w:r>
          </w:p>
        </w:tc>
        <w:tc>
          <w:tcPr>
            <w:tcW w:w="4391" w:type="dxa"/>
            <w:gridSpan w:val="2"/>
            <w:tcBorders>
              <w:top w:val="single" w:sz="4" w:space="0" w:color="auto"/>
              <w:left w:val="single" w:sz="4" w:space="0" w:color="auto"/>
              <w:bottom w:val="single" w:sz="4" w:space="0" w:color="auto"/>
              <w:right w:val="single" w:sz="4" w:space="0" w:color="auto"/>
            </w:tcBorders>
          </w:tcPr>
          <w:p w14:paraId="0489D158" w14:textId="7A5BF82D" w:rsidR="000A3F79" w:rsidRPr="000A3F79" w:rsidRDefault="000A3F79" w:rsidP="00773F10">
            <w:pPr>
              <w:pStyle w:val="TAC"/>
              <w:spacing w:before="20" w:after="20"/>
              <w:ind w:left="57" w:right="57"/>
              <w:jc w:val="left"/>
              <w:rPr>
                <w:rFonts w:eastAsia="Yu Mincho"/>
                <w:sz w:val="20"/>
                <w:lang w:val="en-US"/>
              </w:rPr>
            </w:pPr>
            <w:r>
              <w:rPr>
                <w:rFonts w:eastAsia="Yu Mincho"/>
                <w:sz w:val="20"/>
                <w:lang w:val="en-US"/>
              </w:rPr>
              <w:t>tsuboi.hidekazu@sharp.co.jp</w:t>
            </w:r>
          </w:p>
        </w:tc>
      </w:tr>
      <w:tr w:rsidR="000F2E41" w14:paraId="326F44E9"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12A2B36" w14:textId="6C78FFC5" w:rsidR="000F2E41" w:rsidRDefault="000F2E41" w:rsidP="00773F10">
            <w:pPr>
              <w:pStyle w:val="TAC"/>
              <w:spacing w:before="20" w:after="20"/>
              <w:ind w:left="57" w:right="57"/>
              <w:jc w:val="left"/>
              <w:rPr>
                <w:rFonts w:eastAsia="Yu Mincho" w:hint="eastAsia"/>
                <w:sz w:val="20"/>
                <w:lang w:val="en-US"/>
              </w:rPr>
            </w:pPr>
            <w:r>
              <w:rPr>
                <w:rFonts w:eastAsia="Yu Mincho"/>
                <w:sz w:val="20"/>
                <w:lang w:val="en-US"/>
              </w:rPr>
              <w:t>Thales</w:t>
            </w:r>
          </w:p>
        </w:tc>
        <w:tc>
          <w:tcPr>
            <w:tcW w:w="3118" w:type="dxa"/>
            <w:gridSpan w:val="2"/>
            <w:tcBorders>
              <w:top w:val="single" w:sz="4" w:space="0" w:color="auto"/>
              <w:left w:val="single" w:sz="4" w:space="0" w:color="auto"/>
              <w:bottom w:val="single" w:sz="4" w:space="0" w:color="auto"/>
              <w:right w:val="single" w:sz="4" w:space="0" w:color="auto"/>
            </w:tcBorders>
          </w:tcPr>
          <w:p w14:paraId="39C88BFF" w14:textId="57B90874" w:rsidR="000F2E41" w:rsidRDefault="000F2E41" w:rsidP="00773F10">
            <w:pPr>
              <w:pStyle w:val="TAC"/>
              <w:spacing w:before="20" w:after="20"/>
              <w:ind w:left="57" w:right="57"/>
              <w:jc w:val="left"/>
              <w:rPr>
                <w:rFonts w:eastAsia="Yu Mincho" w:hint="eastAsia"/>
                <w:sz w:val="20"/>
                <w:lang w:val="en-US"/>
              </w:rPr>
            </w:pPr>
            <w:r>
              <w:rPr>
                <w:rFonts w:eastAsia="Yu Mincho"/>
                <w:sz w:val="20"/>
                <w:lang w:val="en-US"/>
              </w:rPr>
              <w:t>Flavien Ronteix</w:t>
            </w:r>
          </w:p>
        </w:tc>
        <w:tc>
          <w:tcPr>
            <w:tcW w:w="4391" w:type="dxa"/>
            <w:gridSpan w:val="2"/>
            <w:tcBorders>
              <w:top w:val="single" w:sz="4" w:space="0" w:color="auto"/>
              <w:left w:val="single" w:sz="4" w:space="0" w:color="auto"/>
              <w:bottom w:val="single" w:sz="4" w:space="0" w:color="auto"/>
              <w:right w:val="single" w:sz="4" w:space="0" w:color="auto"/>
            </w:tcBorders>
          </w:tcPr>
          <w:p w14:paraId="5DAF8ADE" w14:textId="3DB342B6" w:rsidR="000F2E41" w:rsidRDefault="000F2E41" w:rsidP="00773F10">
            <w:pPr>
              <w:pStyle w:val="TAC"/>
              <w:spacing w:before="20" w:after="20"/>
              <w:ind w:left="57" w:right="57"/>
              <w:jc w:val="left"/>
              <w:rPr>
                <w:rFonts w:eastAsia="Yu Mincho"/>
                <w:sz w:val="20"/>
                <w:lang w:val="en-US"/>
              </w:rPr>
            </w:pPr>
            <w:r>
              <w:rPr>
                <w:rFonts w:eastAsia="Yu Mincho"/>
                <w:sz w:val="20"/>
                <w:lang w:val="en-US"/>
              </w:rPr>
              <w:t>flavien.ronteix-jacquet@thalesaleniaspace.com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Heading1"/>
      </w:pPr>
      <w:r>
        <w:t>Discussion</w:t>
      </w:r>
    </w:p>
    <w:p w14:paraId="2C98197C" w14:textId="77777777" w:rsidR="007D43C4" w:rsidRDefault="00285976">
      <w:pPr>
        <w:pStyle w:val="Heading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ListParagraph"/>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ListParagraph"/>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ListParagraph"/>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ListParagraph"/>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t>The objective of this offline is to evaluate the possible signalling gains of common signalling. Note that group-based handover proposals are to be treated separately.</w:t>
      </w:r>
    </w:p>
    <w:p w14:paraId="7E613FA6" w14:textId="77777777" w:rsidR="007D43C4" w:rsidRDefault="00285976">
      <w:pPr>
        <w:pStyle w:val="Heading2"/>
      </w:pPr>
      <w:r>
        <w:t>Analysis</w:t>
      </w:r>
      <w:r>
        <w:rPr>
          <w:i/>
          <w:iCs/>
        </w:rPr>
        <w:t xml:space="preserve"> ServingCellConfigCommon</w:t>
      </w:r>
    </w:p>
    <w:p w14:paraId="73D3C84D" w14:textId="77777777" w:rsidR="007D43C4" w:rsidRDefault="00285976">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ListParagraph"/>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ListParagraph"/>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Heading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149.5pt" o:ole="">
                  <v:imagedata r:id="rId7" o:title=""/>
                </v:shape>
                <o:OLEObject Type="Embed" ProgID="Visio.Drawing.11" ShapeID="_x0000_i1025" DrawAspect="Content" ObjectID="_1743843849"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PMingLiU" w:hint="eastAsia"/>
                <w:lang w:val="en-US" w:eastAsia="zh-TW"/>
              </w:rPr>
              <w:t>A</w:t>
            </w:r>
            <w:r>
              <w:rPr>
                <w:rFonts w:eastAsia="PMingLiU"/>
                <w:lang w:val="en-US" w:eastAsia="zh-TW"/>
              </w:rPr>
              <w:t>SUSTeK</w:t>
            </w:r>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t>A</w:t>
            </w:r>
            <w:r>
              <w:rPr>
                <w:rFonts w:eastAsia="PMingLiU"/>
                <w:lang w:val="en-US" w:eastAsia="zh-TW"/>
              </w:rPr>
              <w:t xml:space="preserve">s analysis by rapporteur, reducing </w:t>
            </w:r>
            <w:r w:rsidRPr="00BA7854">
              <w:rPr>
                <w:rFonts w:eastAsia="PMingLiU"/>
                <w:i/>
                <w:lang w:val="en-US" w:eastAsia="zh-TW"/>
              </w:rPr>
              <w:t>ServingCellConfigCommon</w:t>
            </w:r>
            <w:r>
              <w:rPr>
                <w:rFonts w:eastAsia="PMingLiU"/>
                <w:lang w:val="en-US" w:eastAsia="zh-TW"/>
              </w:rPr>
              <w:t xml:space="preserve"> in a dedicated signalling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lang w:val="en-US" w:eastAsia="zh-TW"/>
              </w:rPr>
            </w:pPr>
            <w:r>
              <w:rPr>
                <w:rFonts w:eastAsia="PMingLiU"/>
                <w:lang w:val="en-US" w:eastAsia="zh-TW"/>
              </w:rPr>
              <w:t>Intel</w:t>
            </w:r>
          </w:p>
        </w:tc>
        <w:tc>
          <w:tcPr>
            <w:tcW w:w="1316" w:type="dxa"/>
          </w:tcPr>
          <w:p w14:paraId="14A7A7BF" w14:textId="3B1C0E4D" w:rsidR="004E6379" w:rsidRDefault="004E6379" w:rsidP="00773F10">
            <w:pPr>
              <w:rPr>
                <w:rFonts w:eastAsia="PMingLiU"/>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r w:rsidR="006D4A7B" w14:paraId="53B32431" w14:textId="77777777" w:rsidTr="00BC48F3">
        <w:tc>
          <w:tcPr>
            <w:tcW w:w="1317" w:type="dxa"/>
          </w:tcPr>
          <w:p w14:paraId="6D195388" w14:textId="59D0A1FF" w:rsidR="006D4A7B" w:rsidRDefault="006D4A7B" w:rsidP="00773F10">
            <w:pPr>
              <w:rPr>
                <w:rFonts w:eastAsia="PMingLiU"/>
                <w:lang w:val="en-US" w:eastAsia="zh-TW"/>
              </w:rPr>
            </w:pPr>
            <w:r>
              <w:rPr>
                <w:rFonts w:eastAsia="PMingLiU"/>
                <w:lang w:val="en-US" w:eastAsia="zh-TW"/>
              </w:rPr>
              <w:t>Sony</w:t>
            </w:r>
          </w:p>
        </w:tc>
        <w:tc>
          <w:tcPr>
            <w:tcW w:w="1316" w:type="dxa"/>
          </w:tcPr>
          <w:p w14:paraId="7FA67E7D" w14:textId="58865CCA" w:rsidR="006D4A7B" w:rsidRDefault="006D4A7B" w:rsidP="00773F10">
            <w:pPr>
              <w:rPr>
                <w:rFonts w:eastAsia="PMingLiU"/>
                <w:lang w:val="en-US" w:eastAsia="zh-TW"/>
              </w:rPr>
            </w:pPr>
            <w:r>
              <w:rPr>
                <w:rFonts w:eastAsia="PMingLiU"/>
                <w:lang w:val="en-US" w:eastAsia="zh-TW"/>
              </w:rPr>
              <w:t>No</w:t>
            </w:r>
          </w:p>
        </w:tc>
        <w:tc>
          <w:tcPr>
            <w:tcW w:w="7080" w:type="dxa"/>
          </w:tcPr>
          <w:p w14:paraId="314F8BCE" w14:textId="474E0829" w:rsidR="006D4A7B" w:rsidRDefault="006D4A7B" w:rsidP="00773F10">
            <w:pPr>
              <w:rPr>
                <w:rFonts w:cs="Arial"/>
                <w:lang w:val="en-US"/>
              </w:rPr>
            </w:pPr>
            <w:r>
              <w:rPr>
                <w:rFonts w:cs="Arial"/>
                <w:lang w:val="en-US"/>
              </w:rPr>
              <w:t xml:space="preserve">Agree with CATT and we also share the view of CMCC and think that the common configuration </w:t>
            </w:r>
            <w:r w:rsidR="007558EE">
              <w:rPr>
                <w:rFonts w:cs="Arial"/>
                <w:lang w:val="en-US"/>
              </w:rPr>
              <w:t>could</w:t>
            </w:r>
            <w:r>
              <w:rPr>
                <w:rFonts w:cs="Arial"/>
                <w:lang w:val="en-US"/>
              </w:rPr>
              <w:t xml:space="preserve"> be applicable to all the UEs or a group of UEs (when group common configuration is applied)</w:t>
            </w:r>
            <w:r w:rsidR="007558EE">
              <w:rPr>
                <w:rFonts w:cs="Arial"/>
                <w:lang w:val="en-US"/>
              </w:rPr>
              <w:t>. And both of them will save the signalling overhead from network point of view.</w:t>
            </w:r>
          </w:p>
        </w:tc>
      </w:tr>
      <w:tr w:rsidR="007C5BB3" w14:paraId="2690587D" w14:textId="77777777" w:rsidTr="00BC48F3">
        <w:tc>
          <w:tcPr>
            <w:tcW w:w="1317" w:type="dxa"/>
          </w:tcPr>
          <w:p w14:paraId="7F597735" w14:textId="1DC4BCEF" w:rsidR="007C5BB3" w:rsidRDefault="007C5BB3" w:rsidP="007C5BB3">
            <w:pPr>
              <w:rPr>
                <w:rFonts w:eastAsia="PMingLiU"/>
                <w:lang w:val="en-US" w:eastAsia="zh-TW"/>
              </w:rPr>
            </w:pPr>
            <w:r>
              <w:rPr>
                <w:rFonts w:eastAsia="Malgun Gothic"/>
                <w:lang w:eastAsia="ko-KR"/>
              </w:rPr>
              <w:t>Sharp</w:t>
            </w:r>
          </w:p>
        </w:tc>
        <w:tc>
          <w:tcPr>
            <w:tcW w:w="1316" w:type="dxa"/>
          </w:tcPr>
          <w:p w14:paraId="263F3573" w14:textId="1F90D6AC" w:rsidR="007C5BB3" w:rsidRDefault="007C5BB3" w:rsidP="007C5BB3">
            <w:pPr>
              <w:rPr>
                <w:rFonts w:eastAsia="PMingLiU"/>
                <w:lang w:val="en-US" w:eastAsia="zh-TW"/>
              </w:rPr>
            </w:pPr>
            <w:r>
              <w:rPr>
                <w:rFonts w:eastAsia="Yu Mincho" w:hint="eastAsia"/>
              </w:rPr>
              <w:t>Y</w:t>
            </w:r>
            <w:r>
              <w:rPr>
                <w:rFonts w:eastAsia="Yu Mincho"/>
              </w:rPr>
              <w:t>es</w:t>
            </w:r>
          </w:p>
        </w:tc>
        <w:tc>
          <w:tcPr>
            <w:tcW w:w="7080" w:type="dxa"/>
          </w:tcPr>
          <w:p w14:paraId="128840A8" w14:textId="77777777" w:rsidR="007C5BB3" w:rsidRDefault="007C5BB3" w:rsidP="007C5BB3">
            <w:pPr>
              <w:rPr>
                <w:rFonts w:eastAsia="Yu Mincho"/>
              </w:rPr>
            </w:pPr>
            <w:r>
              <w:rPr>
                <w:rFonts w:eastAsia="Yu Mincho"/>
              </w:rPr>
              <w:t>Agree with the analysis from rapporteur.</w:t>
            </w:r>
          </w:p>
          <w:p w14:paraId="61F246BB" w14:textId="7A8B1656" w:rsidR="007C5BB3" w:rsidRDefault="007C5BB3" w:rsidP="007C5BB3">
            <w:pPr>
              <w:rPr>
                <w:rFonts w:cs="Arial"/>
                <w:lang w:val="en-US"/>
              </w:rPr>
            </w:pPr>
            <w:r>
              <w:rPr>
                <w:rFonts w:eastAsia="Yu Mincho"/>
              </w:rPr>
              <w:t>Since n</w:t>
            </w:r>
            <w:r w:rsidRPr="00A027EA">
              <w:rPr>
                <w:rFonts w:eastAsia="Yu Mincho"/>
              </w:rPr>
              <w:t xml:space="preserve">etwork </w:t>
            </w:r>
            <w:r>
              <w:rPr>
                <w:rFonts w:eastAsia="Yu Mincho"/>
              </w:rPr>
              <w:t>needs to</w:t>
            </w:r>
            <w:r w:rsidRPr="00A027EA">
              <w:rPr>
                <w:rFonts w:eastAsia="Yu Mincho"/>
              </w:rPr>
              <w:t xml:space="preserve"> ensure that the UE has read the common configuration in SIB</w:t>
            </w:r>
            <w:r>
              <w:rPr>
                <w:rFonts w:eastAsia="Yu Mincho"/>
              </w:rPr>
              <w:t xml:space="preserve"> before HO, we think network may not be able to allocate the radio resources for unicast communication to concerned UEs during the period for broadcasting this SIB, and this is inefficient.</w:t>
            </w:r>
          </w:p>
        </w:tc>
      </w:tr>
      <w:tr w:rsidR="000F2E41" w14:paraId="3B52D122" w14:textId="77777777" w:rsidTr="00BC48F3">
        <w:tc>
          <w:tcPr>
            <w:tcW w:w="1317" w:type="dxa"/>
          </w:tcPr>
          <w:p w14:paraId="1CC8D4BD" w14:textId="78BC926E" w:rsidR="000F2E41" w:rsidRDefault="000F2E41" w:rsidP="007C5BB3">
            <w:pPr>
              <w:rPr>
                <w:rFonts w:eastAsia="Malgun Gothic"/>
                <w:lang w:eastAsia="ko-KR"/>
              </w:rPr>
            </w:pPr>
            <w:r>
              <w:rPr>
                <w:rFonts w:eastAsia="Malgun Gothic"/>
                <w:lang w:eastAsia="ko-KR"/>
              </w:rPr>
              <w:t>Thales</w:t>
            </w:r>
          </w:p>
        </w:tc>
        <w:tc>
          <w:tcPr>
            <w:tcW w:w="1316" w:type="dxa"/>
          </w:tcPr>
          <w:p w14:paraId="5F962196" w14:textId="0A1F1958" w:rsidR="000F2E41" w:rsidRDefault="000F2E41" w:rsidP="007C5BB3">
            <w:pPr>
              <w:rPr>
                <w:rFonts w:eastAsia="Yu Mincho" w:hint="eastAsia"/>
              </w:rPr>
            </w:pPr>
            <w:r>
              <w:rPr>
                <w:rFonts w:eastAsia="Yu Mincho"/>
              </w:rPr>
              <w:t>No</w:t>
            </w:r>
          </w:p>
        </w:tc>
        <w:tc>
          <w:tcPr>
            <w:tcW w:w="7080" w:type="dxa"/>
          </w:tcPr>
          <w:p w14:paraId="7D6F560B" w14:textId="77777777" w:rsidR="000F2E41" w:rsidRDefault="000F2E41" w:rsidP="007C5BB3">
            <w:pPr>
              <w:rPr>
                <w:rFonts w:eastAsia="Yu Mincho"/>
              </w:rPr>
            </w:pPr>
            <w:r>
              <w:rPr>
                <w:rFonts w:eastAsia="Yu Mincho"/>
              </w:rPr>
              <w:t>We share views of CATT, Apple and Samsung.</w:t>
            </w:r>
          </w:p>
          <w:p w14:paraId="4736FA60" w14:textId="77777777" w:rsidR="000F2E41" w:rsidRDefault="000F2E41" w:rsidP="000F2E41">
            <w:pPr>
              <w:rPr>
                <w:rFonts w:eastAsia="Yu Mincho"/>
              </w:rPr>
            </w:pPr>
            <w:r>
              <w:rPr>
                <w:rFonts w:eastAsia="Yu Mincho"/>
              </w:rPr>
              <w:t>The benefit to broadcast common target cell configuration from a network point of view in quasi earth-fixed scenario with a predictable (Conditonnal-)handover should be considered.</w:t>
            </w:r>
          </w:p>
          <w:p w14:paraId="1D9369E9" w14:textId="6AAB2E0E" w:rsidR="000F2E41" w:rsidRDefault="000F2E41" w:rsidP="000F2E41">
            <w:pPr>
              <w:rPr>
                <w:rFonts w:eastAsia="Yu Mincho"/>
              </w:rPr>
            </w:pPr>
            <w:r>
              <w:rPr>
                <w:rFonts w:eastAsia="Yu Mincho"/>
              </w:rPr>
              <w:t>It seems to be under-evaluated by the rapporteur even if</w:t>
            </w:r>
            <w:r w:rsidR="008D628B">
              <w:rPr>
                <w:rFonts w:eastAsia="Yu Mincho"/>
              </w:rPr>
              <w:t xml:space="preserve"> I share most of the great analysis he provides.</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TableGri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r>
              <w:rPr>
                <w:rFonts w:eastAsia="PMingLiU" w:hint="eastAsia"/>
                <w:lang w:val="en-US" w:eastAsia="zh-TW"/>
              </w:rPr>
              <w:t>A</w:t>
            </w:r>
            <w:r>
              <w:rPr>
                <w:rFonts w:eastAsia="PMingLiU"/>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05E89AE7" w:rsidR="00BC48F3" w:rsidRDefault="00093011" w:rsidP="00BC48F3">
            <w:pPr>
              <w:rPr>
                <w:rFonts w:eastAsia="Malgun Gothic"/>
                <w:lang w:eastAsia="ko-KR"/>
              </w:rPr>
            </w:pPr>
            <w:r>
              <w:rPr>
                <w:rFonts w:eastAsia="Malgun Gothic"/>
                <w:lang w:eastAsia="ko-KR"/>
              </w:rPr>
              <w:t>Sony</w:t>
            </w:r>
          </w:p>
        </w:tc>
        <w:tc>
          <w:tcPr>
            <w:tcW w:w="7080" w:type="dxa"/>
          </w:tcPr>
          <w:p w14:paraId="403F8710" w14:textId="44888CA8" w:rsidR="00BC48F3" w:rsidRDefault="00093011" w:rsidP="00BC48F3">
            <w:pPr>
              <w:rPr>
                <w:rFonts w:eastAsia="DengXian"/>
              </w:rPr>
            </w:pPr>
            <w:r>
              <w:rPr>
                <w:rFonts w:eastAsiaTheme="minorEastAsia" w:hint="eastAsia"/>
                <w:lang w:val="en-US" w:eastAsia="zh-CN"/>
              </w:rPr>
              <w:t>Please refer to Q1.</w:t>
            </w: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3pt;height:149.5pt" o:ole="">
                  <v:imagedata r:id="rId7" o:title=""/>
                </v:shape>
                <o:OLEObject Type="Embed" ProgID="Visio.Drawing.11" ShapeID="_x0000_i1026" DrawAspect="Content" ObjectID="_1743843850" r:id="rId9"/>
              </w:object>
            </w:r>
          </w:p>
          <w:p w14:paraId="5498511F" w14:textId="77777777" w:rsidR="007D43C4" w:rsidRDefault="0028597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r>
              <w:rPr>
                <w:rFonts w:eastAsia="PMingLiU" w:hint="eastAsia"/>
                <w:lang w:val="en-US" w:eastAsia="zh-TW"/>
              </w:rPr>
              <w:t>A</w:t>
            </w:r>
            <w:r>
              <w:rPr>
                <w:rFonts w:eastAsia="PMingLiU"/>
                <w:lang w:val="en-US" w:eastAsia="zh-TW"/>
              </w:rPr>
              <w:t>SUSTeK</w:t>
            </w:r>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Malgun Gothic"/>
                <w:lang w:eastAsia="ko-KR"/>
              </w:rPr>
              <w:t>MediaTek.</w:t>
            </w:r>
          </w:p>
        </w:tc>
      </w:tr>
      <w:tr w:rsidR="00BC48F3" w14:paraId="651D1551" w14:textId="77777777">
        <w:tc>
          <w:tcPr>
            <w:tcW w:w="1317" w:type="dxa"/>
          </w:tcPr>
          <w:p w14:paraId="684BD54A" w14:textId="2B1CCDBF" w:rsidR="00BC48F3" w:rsidRDefault="006C5844" w:rsidP="00BC48F3">
            <w:pPr>
              <w:rPr>
                <w:rFonts w:eastAsia="Malgun Gothic"/>
                <w:lang w:eastAsia="ko-KR"/>
              </w:rPr>
            </w:pPr>
            <w:r>
              <w:rPr>
                <w:rFonts w:eastAsia="Malgun Gothic"/>
                <w:lang w:eastAsia="ko-KR"/>
              </w:rPr>
              <w:t>Sony</w:t>
            </w:r>
          </w:p>
        </w:tc>
        <w:tc>
          <w:tcPr>
            <w:tcW w:w="1316" w:type="dxa"/>
          </w:tcPr>
          <w:p w14:paraId="404275EA" w14:textId="0B0DCF50" w:rsidR="00BC48F3" w:rsidRDefault="006C5844" w:rsidP="00BC48F3">
            <w:pPr>
              <w:rPr>
                <w:rFonts w:eastAsia="Malgun Gothic"/>
                <w:lang w:eastAsia="ko-KR"/>
              </w:rPr>
            </w:pPr>
            <w:r>
              <w:rPr>
                <w:rFonts w:eastAsia="Malgun Gothic"/>
                <w:lang w:eastAsia="ko-KR"/>
              </w:rPr>
              <w:t>C</w:t>
            </w: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2CFE255D" w:rsidR="00BC48F3" w:rsidRDefault="008D628B" w:rsidP="00BC48F3">
            <w:pPr>
              <w:rPr>
                <w:rFonts w:eastAsia="Malgun Gothic"/>
                <w:lang w:eastAsia="ko-KR"/>
              </w:rPr>
            </w:pPr>
            <w:r>
              <w:rPr>
                <w:rFonts w:eastAsia="Malgun Gothic"/>
                <w:lang w:eastAsia="ko-KR"/>
              </w:rPr>
              <w:t>Thales</w:t>
            </w:r>
          </w:p>
        </w:tc>
        <w:tc>
          <w:tcPr>
            <w:tcW w:w="1316" w:type="dxa"/>
          </w:tcPr>
          <w:p w14:paraId="3270CCF6" w14:textId="40C13D85" w:rsidR="00BC48F3" w:rsidRDefault="008D628B" w:rsidP="00BC48F3">
            <w:pPr>
              <w:rPr>
                <w:rFonts w:eastAsia="Malgun Gothic"/>
                <w:lang w:eastAsia="ko-KR"/>
              </w:rPr>
            </w:pPr>
            <w:r>
              <w:rPr>
                <w:rFonts w:eastAsia="Malgun Gothic"/>
                <w:lang w:eastAsia="ko-KR"/>
              </w:rPr>
              <w:t>C (at least B)</w:t>
            </w:r>
          </w:p>
        </w:tc>
        <w:tc>
          <w:tcPr>
            <w:tcW w:w="7080" w:type="dxa"/>
          </w:tcPr>
          <w:p w14:paraId="2C73B516" w14:textId="393330CF" w:rsidR="00BC48F3" w:rsidRDefault="008D628B" w:rsidP="00BC48F3">
            <w:pPr>
              <w:rPr>
                <w:rFonts w:eastAsia="DengXian"/>
              </w:rPr>
            </w:pPr>
            <w:r>
              <w:rPr>
                <w:rFonts w:eastAsia="DengXian"/>
              </w:rPr>
              <w:t>Quasi Earth-fixed as a baseline</w:t>
            </w:r>
            <w:bookmarkStart w:id="2" w:name="_GoBack"/>
            <w:bookmarkEnd w:id="2"/>
          </w:p>
        </w:tc>
      </w:tr>
      <w:tr w:rsidR="00BC48F3" w14:paraId="5468C292" w14:textId="77777777">
        <w:tc>
          <w:tcPr>
            <w:tcW w:w="1317" w:type="dxa"/>
          </w:tcPr>
          <w:p w14:paraId="32AC3A71" w14:textId="77777777" w:rsidR="00BC48F3" w:rsidRDefault="00BC48F3" w:rsidP="00BC48F3">
            <w:pPr>
              <w:rPr>
                <w:rFonts w:eastAsia="Malgun Gothic"/>
                <w:lang w:eastAsia="ko-KR"/>
              </w:rPr>
            </w:pPr>
          </w:p>
        </w:tc>
        <w:tc>
          <w:tcPr>
            <w:tcW w:w="1316" w:type="dxa"/>
          </w:tcPr>
          <w:p w14:paraId="144AD233" w14:textId="77777777" w:rsidR="00BC48F3" w:rsidRDefault="00BC48F3" w:rsidP="00BC48F3">
            <w:pPr>
              <w:rPr>
                <w:rFonts w:eastAsia="Malgun Gothic"/>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Malgun Gothic"/>
                <w:lang w:eastAsia="ko-KR"/>
              </w:rPr>
            </w:pPr>
          </w:p>
        </w:tc>
        <w:tc>
          <w:tcPr>
            <w:tcW w:w="1316" w:type="dxa"/>
          </w:tcPr>
          <w:p w14:paraId="7D212808" w14:textId="77777777" w:rsidR="00BC48F3" w:rsidRDefault="00BC48F3" w:rsidP="00BC48F3">
            <w:pPr>
              <w:rPr>
                <w:rFonts w:eastAsia="Malgun Gothic"/>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Heading1"/>
      </w:pPr>
      <w:r>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Heading1"/>
      </w:pPr>
      <w:r>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A327" w14:textId="77777777" w:rsidR="00AB4D67" w:rsidRDefault="00AB4D67">
      <w:pPr>
        <w:spacing w:line="240" w:lineRule="auto"/>
      </w:pPr>
      <w:r>
        <w:separator/>
      </w:r>
    </w:p>
  </w:endnote>
  <w:endnote w:type="continuationSeparator" w:id="0">
    <w:p w14:paraId="095126D6" w14:textId="77777777" w:rsidR="00AB4D67" w:rsidRDefault="00AB4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E00002FF" w:usb1="6AC7FDFB" w:usb2="08000012" w:usb3="00000000" w:csb0="0002009F" w:csb1="00000000"/>
  </w:font>
  <w:font w:name="Yu Mincho">
    <w:altName w:val="Times New Roman"/>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5F3E" w14:textId="3A44958E" w:rsidR="007D43C4" w:rsidRDefault="002859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B4D6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4D67">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48EE" w14:textId="77777777" w:rsidR="00AB4D67" w:rsidRDefault="00AB4D67">
      <w:pPr>
        <w:spacing w:after="0"/>
      </w:pPr>
      <w:r>
        <w:separator/>
      </w:r>
    </w:p>
  </w:footnote>
  <w:footnote w:type="continuationSeparator" w:id="0">
    <w:p w14:paraId="2015AC23" w14:textId="77777777" w:rsidR="00AB4D67" w:rsidRDefault="00AB4D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hyphenationZone w:val="425"/>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DDC"/>
    <w:rsid w:val="00086E81"/>
    <w:rsid w:val="00093011"/>
    <w:rsid w:val="000A3F79"/>
    <w:rsid w:val="000B4099"/>
    <w:rsid w:val="000D400D"/>
    <w:rsid w:val="000F2E41"/>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C5844"/>
    <w:rsid w:val="006D3048"/>
    <w:rsid w:val="006D42CA"/>
    <w:rsid w:val="006D4A7B"/>
    <w:rsid w:val="006D7825"/>
    <w:rsid w:val="006E731C"/>
    <w:rsid w:val="00700A6E"/>
    <w:rsid w:val="0072011B"/>
    <w:rsid w:val="00736C2E"/>
    <w:rsid w:val="007558EE"/>
    <w:rsid w:val="007652B2"/>
    <w:rsid w:val="00781CAC"/>
    <w:rsid w:val="007A6E76"/>
    <w:rsid w:val="007C2D7E"/>
    <w:rsid w:val="007C5BB3"/>
    <w:rsid w:val="007D2599"/>
    <w:rsid w:val="007D43C4"/>
    <w:rsid w:val="00804BB4"/>
    <w:rsid w:val="008167B7"/>
    <w:rsid w:val="008307DA"/>
    <w:rsid w:val="00867C1F"/>
    <w:rsid w:val="00867DBD"/>
    <w:rsid w:val="00871CB9"/>
    <w:rsid w:val="008735A1"/>
    <w:rsid w:val="008825EA"/>
    <w:rsid w:val="008A23C2"/>
    <w:rsid w:val="008A38B0"/>
    <w:rsid w:val="008B6A8C"/>
    <w:rsid w:val="008C600A"/>
    <w:rsid w:val="008D628B"/>
    <w:rsid w:val="008E4DFF"/>
    <w:rsid w:val="008E6002"/>
    <w:rsid w:val="008E73FD"/>
    <w:rsid w:val="008F3A5D"/>
    <w:rsid w:val="0091681D"/>
    <w:rsid w:val="00921732"/>
    <w:rsid w:val="009337E4"/>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B4D67"/>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378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4140</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Ronteix-Jacquet Flavien</cp:lastModifiedBy>
  <cp:revision>10</cp:revision>
  <dcterms:created xsi:type="dcterms:W3CDTF">2023-04-24T08:39:00Z</dcterms:created>
  <dcterms:modified xsi:type="dcterms:W3CDTF">2023-04-24T10:18:00Z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